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宋体" w:hAnsi="宋体" w:eastAsia="宋体" w:cs="宋体"/>
          <w:color w:val="auto"/>
          <w:kern w:val="0"/>
          <w:highlight w:val="none"/>
          <w:lang w:val="en-US" w:eastAsia="zh-CN"/>
        </w:rPr>
      </w:pPr>
      <w:bookmarkStart w:id="0" w:name="_GoBack"/>
      <w:bookmarkEnd w:id="0"/>
      <w:r>
        <w:rPr>
          <w:rFonts w:hint="eastAsia" w:cs="宋体"/>
          <w:color w:val="auto"/>
          <w:highlight w:val="none"/>
          <w:lang w:eastAsia="zh-CN"/>
        </w:rPr>
        <w:t>服务内容</w:t>
      </w:r>
    </w:p>
    <w:p>
      <w:pPr>
        <w:pStyle w:val="18"/>
        <w:jc w:val="both"/>
        <w:outlineLvl w:val="4"/>
        <w:rPr>
          <w:rFonts w:hint="default"/>
        </w:rPr>
      </w:pPr>
      <w:r>
        <w:rPr>
          <w:rFonts w:ascii="宋体" w:hAnsi="宋体" w:cs="宋体"/>
          <w:b/>
          <w:sz w:val="24"/>
          <w:shd w:val="clear" w:color="auto" w:fill="FFFFFF"/>
        </w:rPr>
        <w:t>1.测评对象、范围及要求</w:t>
      </w:r>
    </w:p>
    <w:p>
      <w:pPr>
        <w:pStyle w:val="18"/>
        <w:ind w:firstLine="480"/>
        <w:jc w:val="both"/>
        <w:rPr>
          <w:rFonts w:hint="default"/>
        </w:rPr>
      </w:pPr>
      <w:r>
        <w:rPr>
          <w:rFonts w:ascii="宋体" w:hAnsi="宋体" w:cs="宋体"/>
          <w:sz w:val="24"/>
          <w:shd w:val="clear" w:color="auto" w:fill="FFFFFF"/>
        </w:rPr>
        <w:t>HIS、LIS、EMR、PACS等1</w:t>
      </w:r>
      <w:r>
        <w:rPr>
          <w:rFonts w:hint="default" w:ascii="宋体" w:hAnsi="宋体" w:cs="宋体"/>
          <w:sz w:val="24"/>
          <w:shd w:val="clear" w:color="auto" w:fill="FFFFFF"/>
        </w:rPr>
        <w:t>3</w:t>
      </w:r>
      <w:r>
        <w:rPr>
          <w:rFonts w:ascii="宋体" w:hAnsi="宋体" w:cs="宋体"/>
          <w:sz w:val="24"/>
          <w:shd w:val="clear" w:color="auto" w:fill="FFFFFF"/>
        </w:rPr>
        <w:t>个业务系统。备注：如被测系统停用或取消备案，可用相同网络安全等级的系统替换，若无系统替换可进行费用核减。</w:t>
      </w:r>
    </w:p>
    <w:p>
      <w:pPr>
        <w:pStyle w:val="18"/>
        <w:jc w:val="both"/>
        <w:outlineLvl w:val="4"/>
        <w:rPr>
          <w:rFonts w:hint="default"/>
        </w:rPr>
      </w:pPr>
      <w:r>
        <w:rPr>
          <w:rFonts w:ascii="宋体" w:hAnsi="宋体" w:cs="宋体"/>
          <w:b/>
          <w:sz w:val="24"/>
          <w:shd w:val="clear" w:color="auto" w:fill="FFFFFF"/>
        </w:rPr>
        <w:t>2.等保测评服务</w:t>
      </w:r>
    </w:p>
    <w:p>
      <w:pPr>
        <w:pStyle w:val="18"/>
        <w:ind w:firstLine="480"/>
        <w:jc w:val="both"/>
        <w:rPr>
          <w:rFonts w:hint="default"/>
        </w:rPr>
      </w:pPr>
      <w:r>
        <w:rPr>
          <w:rFonts w:ascii="宋体" w:hAnsi="宋体" w:cs="宋体"/>
          <w:sz w:val="24"/>
          <w:shd w:val="clear" w:color="auto" w:fill="FFFFFF"/>
        </w:rPr>
        <w:t>等级测评的现场实施过程由单项测评和整体测评两部分构成。</w:t>
      </w:r>
    </w:p>
    <w:p>
      <w:pPr>
        <w:pStyle w:val="18"/>
        <w:ind w:firstLine="480"/>
        <w:jc w:val="both"/>
        <w:rPr>
          <w:rFonts w:hint="default"/>
        </w:rPr>
      </w:pPr>
      <w:r>
        <w:rPr>
          <w:rFonts w:ascii="宋体" w:hAnsi="宋体" w:cs="宋体"/>
          <w:sz w:val="24"/>
          <w:shd w:val="clear" w:color="auto" w:fill="FFFFFF"/>
        </w:rPr>
        <w:t>对应《基本要求》各安全要求项的测评称为单项测评。整体测评是在单项测评的基础上，通过进一步分析定级对象安全保护功能的整体相关性，对定级对象实施的综合安全测评。</w:t>
      </w:r>
    </w:p>
    <w:p>
      <w:pPr>
        <w:pStyle w:val="18"/>
        <w:ind w:firstLine="482" w:firstLineChars="200"/>
        <w:jc w:val="both"/>
        <w:outlineLvl w:val="5"/>
        <w:rPr>
          <w:rFonts w:hint="default"/>
        </w:rPr>
      </w:pPr>
      <w:r>
        <w:rPr>
          <w:rFonts w:ascii="宋体" w:hAnsi="宋体" w:cs="宋体"/>
          <w:b/>
          <w:sz w:val="24"/>
          <w:shd w:val="clear" w:color="auto" w:fill="FFFFFF"/>
        </w:rPr>
        <w:t>2.1.通用安全要求</w:t>
      </w:r>
    </w:p>
    <w:p>
      <w:pPr>
        <w:pStyle w:val="18"/>
        <w:ind w:firstLine="480"/>
        <w:jc w:val="both"/>
        <w:rPr>
          <w:rFonts w:hint="default"/>
        </w:rPr>
      </w:pPr>
      <w:r>
        <w:rPr>
          <w:rFonts w:ascii="宋体" w:hAnsi="宋体" w:cs="宋体"/>
          <w:sz w:val="24"/>
          <w:shd w:val="clear" w:color="auto" w:fill="FFFFFF"/>
        </w:rPr>
        <w:t>把测评指标和测评方式结合到信息系统的具体测评对象上，就构成了可以具体测评的工作单元。 具体分为安全物理环境、安全通信网络、安全区域边界、安全计算环境、安全管理中心、安全管理制度、安全管理机构、安全管理人员、安全建设管理、安全运维管理等方面。</w:t>
      </w:r>
    </w:p>
    <w:p>
      <w:pPr>
        <w:pStyle w:val="18"/>
        <w:ind w:firstLine="482" w:firstLineChars="200"/>
        <w:jc w:val="both"/>
        <w:outlineLvl w:val="5"/>
        <w:rPr>
          <w:rFonts w:hint="default"/>
        </w:rPr>
      </w:pPr>
      <w:r>
        <w:rPr>
          <w:rFonts w:ascii="宋体" w:hAnsi="宋体" w:cs="宋体"/>
          <w:b/>
          <w:sz w:val="24"/>
          <w:shd w:val="clear" w:color="auto" w:fill="FFFFFF"/>
        </w:rPr>
        <w:t>2.2.安全物理环境测评</w:t>
      </w:r>
    </w:p>
    <w:p>
      <w:pPr>
        <w:pStyle w:val="18"/>
        <w:ind w:firstLine="482" w:firstLineChars="200"/>
        <w:jc w:val="both"/>
        <w:rPr>
          <w:rFonts w:hint="default"/>
        </w:rPr>
      </w:pPr>
      <w:r>
        <w:rPr>
          <w:rFonts w:ascii="宋体" w:hAnsi="宋体" w:cs="宋体"/>
          <w:b/>
          <w:sz w:val="24"/>
          <w:shd w:val="clear" w:color="auto" w:fill="FFFFFF"/>
        </w:rPr>
        <w:t>2.2.1.测评指标</w:t>
      </w:r>
    </w:p>
    <w:p>
      <w:pPr>
        <w:pStyle w:val="18"/>
        <w:jc w:val="center"/>
        <w:rPr>
          <w:rFonts w:hint="default"/>
        </w:rPr>
      </w:pPr>
      <w:r>
        <w:rPr>
          <w:rFonts w:ascii="宋体" w:hAnsi="宋体" w:cs="宋体"/>
          <w:sz w:val="24"/>
          <w:shd w:val="clear" w:color="auto" w:fill="FFFFFF"/>
        </w:rPr>
        <w:t>安全物理环境（通用要求）测评指标</w:t>
      </w:r>
    </w:p>
    <w:tbl>
      <w:tblPr>
        <w:tblStyle w:val="17"/>
        <w:tblW w:w="96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576"/>
        <w:gridCol w:w="7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5" w:type="dxa"/>
            <w:shd w:val="clear" w:color="auto" w:fill="BFBFBF"/>
            <w:tcMar>
              <w:top w:w="90" w:type="dxa"/>
              <w:left w:w="90" w:type="dxa"/>
              <w:bottom w:w="90" w:type="dxa"/>
              <w:right w:w="90" w:type="dxa"/>
            </w:tcMar>
            <w:vAlign w:val="top"/>
          </w:tcPr>
          <w:p>
            <w:pPr>
              <w:pStyle w:val="18"/>
              <w:jc w:val="center"/>
              <w:rPr>
                <w:rFonts w:hint="default"/>
              </w:rPr>
            </w:pPr>
            <w:r>
              <w:rPr>
                <w:rFonts w:ascii="宋体" w:hAnsi="宋体" w:cs="宋体"/>
                <w:b/>
                <w:sz w:val="24"/>
              </w:rPr>
              <w:t>序号</w:t>
            </w:r>
          </w:p>
        </w:tc>
        <w:tc>
          <w:tcPr>
            <w:tcW w:w="1576" w:type="dxa"/>
            <w:shd w:val="clear" w:color="auto" w:fill="BFBFBF"/>
            <w:tcMar>
              <w:top w:w="90" w:type="dxa"/>
              <w:left w:w="90" w:type="dxa"/>
              <w:bottom w:w="90" w:type="dxa"/>
              <w:right w:w="90" w:type="dxa"/>
            </w:tcMar>
            <w:vAlign w:val="top"/>
          </w:tcPr>
          <w:p>
            <w:pPr>
              <w:pStyle w:val="18"/>
              <w:jc w:val="center"/>
              <w:rPr>
                <w:rFonts w:hint="default"/>
              </w:rPr>
            </w:pPr>
            <w:r>
              <w:rPr>
                <w:rFonts w:ascii="宋体" w:hAnsi="宋体" w:cs="宋体"/>
                <w:b/>
                <w:sz w:val="24"/>
              </w:rPr>
              <w:t>安全子类</w:t>
            </w:r>
          </w:p>
        </w:tc>
        <w:tc>
          <w:tcPr>
            <w:tcW w:w="7437" w:type="dxa"/>
            <w:shd w:val="clear" w:color="auto" w:fill="BFBFBF"/>
            <w:tcMar>
              <w:top w:w="90" w:type="dxa"/>
              <w:left w:w="90" w:type="dxa"/>
              <w:bottom w:w="90" w:type="dxa"/>
              <w:right w:w="90" w:type="dxa"/>
            </w:tcMar>
            <w:vAlign w:val="top"/>
          </w:tcPr>
          <w:p>
            <w:pPr>
              <w:pStyle w:val="18"/>
              <w:jc w:val="center"/>
              <w:rPr>
                <w:rFonts w:hint="default"/>
              </w:rPr>
            </w:pPr>
            <w:r>
              <w:rPr>
                <w:rFonts w:ascii="宋体" w:hAnsi="宋体" w:cs="宋体"/>
                <w:b/>
                <w:sz w:val="24"/>
              </w:rPr>
              <w:t>测评指标描述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5" w:type="dxa"/>
            <w:tcMar>
              <w:top w:w="90" w:type="dxa"/>
              <w:left w:w="90" w:type="dxa"/>
              <w:bottom w:w="90" w:type="dxa"/>
              <w:right w:w="90" w:type="dxa"/>
            </w:tcMar>
            <w:vAlign w:val="top"/>
          </w:tcPr>
          <w:p>
            <w:pPr>
              <w:pStyle w:val="18"/>
              <w:jc w:val="center"/>
              <w:rPr>
                <w:rFonts w:hint="default"/>
              </w:rPr>
            </w:pPr>
            <w:r>
              <w:rPr>
                <w:rFonts w:ascii="宋体" w:hAnsi="宋体" w:cs="宋体"/>
                <w:sz w:val="24"/>
              </w:rPr>
              <w:t>1</w:t>
            </w:r>
          </w:p>
        </w:tc>
        <w:tc>
          <w:tcPr>
            <w:tcW w:w="1576" w:type="dxa"/>
            <w:vMerge w:val="restart"/>
            <w:tcMar>
              <w:top w:w="90" w:type="dxa"/>
              <w:left w:w="90" w:type="dxa"/>
              <w:bottom w:w="90" w:type="dxa"/>
              <w:right w:w="90" w:type="dxa"/>
            </w:tcMar>
            <w:vAlign w:val="top"/>
          </w:tcPr>
          <w:p>
            <w:pPr>
              <w:pStyle w:val="18"/>
              <w:jc w:val="center"/>
              <w:rPr>
                <w:rFonts w:hint="default"/>
              </w:rPr>
            </w:pPr>
            <w:r>
              <w:rPr>
                <w:rFonts w:ascii="宋体" w:hAnsi="宋体" w:cs="宋体"/>
                <w:sz w:val="24"/>
              </w:rPr>
              <w:t>物理位置选择</w:t>
            </w:r>
          </w:p>
        </w:tc>
        <w:tc>
          <w:tcPr>
            <w:tcW w:w="7437" w:type="dxa"/>
            <w:tcMar>
              <w:top w:w="90" w:type="dxa"/>
              <w:left w:w="90" w:type="dxa"/>
              <w:bottom w:w="90" w:type="dxa"/>
              <w:right w:w="90" w:type="dxa"/>
            </w:tcMar>
            <w:vAlign w:val="top"/>
          </w:tcPr>
          <w:p>
            <w:pPr>
              <w:pStyle w:val="18"/>
              <w:rPr>
                <w:rFonts w:hint="default"/>
              </w:rPr>
            </w:pPr>
            <w:r>
              <w:rPr>
                <w:rFonts w:ascii="宋体" w:hAnsi="宋体" w:cs="宋体"/>
                <w:sz w:val="24"/>
              </w:rPr>
              <w:t>a）机房场地应选择在具有防震、防风和防雨等能力的建筑内；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5" w:type="dxa"/>
            <w:tcMar>
              <w:top w:w="90" w:type="dxa"/>
              <w:left w:w="90" w:type="dxa"/>
              <w:bottom w:w="90" w:type="dxa"/>
              <w:right w:w="90" w:type="dxa"/>
            </w:tcMar>
            <w:vAlign w:val="top"/>
          </w:tcPr>
          <w:p>
            <w:pPr>
              <w:pStyle w:val="18"/>
              <w:jc w:val="center"/>
              <w:rPr>
                <w:rFonts w:hint="default"/>
              </w:rPr>
            </w:pPr>
            <w:r>
              <w:rPr>
                <w:rFonts w:ascii="宋体" w:hAnsi="宋体" w:cs="宋体"/>
                <w:sz w:val="24"/>
              </w:rPr>
              <w:t>2</w:t>
            </w:r>
          </w:p>
        </w:tc>
        <w:tc>
          <w:tcPr>
            <w:tcW w:w="1576" w:type="dxa"/>
            <w:vMerge w:val="continue"/>
            <w:vAlign w:val="top"/>
          </w:tcPr>
          <w:p/>
        </w:tc>
        <w:tc>
          <w:tcPr>
            <w:tcW w:w="7437" w:type="dxa"/>
            <w:tcMar>
              <w:top w:w="90" w:type="dxa"/>
              <w:left w:w="90" w:type="dxa"/>
              <w:bottom w:w="90" w:type="dxa"/>
              <w:right w:w="90" w:type="dxa"/>
            </w:tcMar>
            <w:vAlign w:val="top"/>
          </w:tcPr>
          <w:p>
            <w:pPr>
              <w:pStyle w:val="18"/>
              <w:rPr>
                <w:rFonts w:hint="default"/>
              </w:rPr>
            </w:pPr>
            <w:r>
              <w:rPr>
                <w:rFonts w:ascii="宋体" w:hAnsi="宋体" w:cs="宋体"/>
                <w:sz w:val="24"/>
              </w:rPr>
              <w:t>b）机房场地应避免设在建筑物的顶层或地下室，否则应加强防水和防潮措施。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5" w:type="dxa"/>
            <w:tcMar>
              <w:top w:w="90" w:type="dxa"/>
              <w:left w:w="90" w:type="dxa"/>
              <w:bottom w:w="90" w:type="dxa"/>
              <w:right w:w="90" w:type="dxa"/>
            </w:tcMar>
            <w:vAlign w:val="top"/>
          </w:tcPr>
          <w:p>
            <w:pPr>
              <w:pStyle w:val="18"/>
              <w:jc w:val="center"/>
              <w:rPr>
                <w:rFonts w:hint="default"/>
              </w:rPr>
            </w:pPr>
            <w:r>
              <w:rPr>
                <w:rFonts w:ascii="宋体" w:hAnsi="宋体" w:cs="宋体"/>
                <w:sz w:val="24"/>
              </w:rPr>
              <w:t>3</w:t>
            </w:r>
          </w:p>
        </w:tc>
        <w:tc>
          <w:tcPr>
            <w:tcW w:w="1576" w:type="dxa"/>
            <w:tcMar>
              <w:top w:w="90" w:type="dxa"/>
              <w:left w:w="90" w:type="dxa"/>
              <w:bottom w:w="90" w:type="dxa"/>
              <w:right w:w="90" w:type="dxa"/>
            </w:tcMar>
            <w:vAlign w:val="top"/>
          </w:tcPr>
          <w:p>
            <w:pPr>
              <w:pStyle w:val="18"/>
              <w:jc w:val="center"/>
              <w:rPr>
                <w:rFonts w:hint="default"/>
              </w:rPr>
            </w:pPr>
            <w:r>
              <w:rPr>
                <w:rFonts w:ascii="宋体" w:hAnsi="宋体" w:cs="宋体"/>
                <w:sz w:val="24"/>
              </w:rPr>
              <w:t>物理访问控制</w:t>
            </w:r>
          </w:p>
        </w:tc>
        <w:tc>
          <w:tcPr>
            <w:tcW w:w="7437" w:type="dxa"/>
            <w:tcMar>
              <w:top w:w="90" w:type="dxa"/>
              <w:left w:w="90" w:type="dxa"/>
              <w:bottom w:w="90" w:type="dxa"/>
              <w:right w:w="90" w:type="dxa"/>
            </w:tcMar>
            <w:vAlign w:val="top"/>
          </w:tcPr>
          <w:p>
            <w:pPr>
              <w:pStyle w:val="18"/>
              <w:rPr>
                <w:rFonts w:hint="default"/>
              </w:rPr>
            </w:pPr>
            <w:r>
              <w:rPr>
                <w:rFonts w:ascii="宋体" w:hAnsi="宋体" w:cs="宋体"/>
                <w:sz w:val="24"/>
              </w:rPr>
              <w:t>a）机房出入口应配置电子门禁系统，控制、鉴别和记录进入的人员。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5" w:type="dxa"/>
            <w:tcMar>
              <w:top w:w="90" w:type="dxa"/>
              <w:left w:w="90" w:type="dxa"/>
              <w:bottom w:w="90" w:type="dxa"/>
              <w:right w:w="90" w:type="dxa"/>
            </w:tcMar>
            <w:vAlign w:val="top"/>
          </w:tcPr>
          <w:p>
            <w:pPr>
              <w:pStyle w:val="18"/>
              <w:jc w:val="center"/>
              <w:rPr>
                <w:rFonts w:hint="default"/>
              </w:rPr>
            </w:pPr>
            <w:r>
              <w:rPr>
                <w:rFonts w:ascii="宋体" w:hAnsi="宋体" w:cs="宋体"/>
                <w:sz w:val="24"/>
              </w:rPr>
              <w:t>4</w:t>
            </w:r>
          </w:p>
        </w:tc>
        <w:tc>
          <w:tcPr>
            <w:tcW w:w="1576" w:type="dxa"/>
            <w:vMerge w:val="restart"/>
            <w:tcMar>
              <w:top w:w="90" w:type="dxa"/>
              <w:left w:w="90" w:type="dxa"/>
              <w:bottom w:w="90" w:type="dxa"/>
              <w:right w:w="90" w:type="dxa"/>
            </w:tcMar>
            <w:vAlign w:val="top"/>
          </w:tcPr>
          <w:p>
            <w:pPr>
              <w:pStyle w:val="18"/>
              <w:jc w:val="center"/>
              <w:rPr>
                <w:rFonts w:hint="default"/>
              </w:rPr>
            </w:pPr>
            <w:r>
              <w:rPr>
                <w:rFonts w:ascii="宋体" w:hAnsi="宋体" w:cs="宋体"/>
                <w:sz w:val="24"/>
              </w:rPr>
              <w:t>防盗窃和防破坏</w:t>
            </w:r>
          </w:p>
        </w:tc>
        <w:tc>
          <w:tcPr>
            <w:tcW w:w="7437" w:type="dxa"/>
            <w:tcMar>
              <w:top w:w="90" w:type="dxa"/>
              <w:left w:w="90" w:type="dxa"/>
              <w:bottom w:w="90" w:type="dxa"/>
              <w:right w:w="90" w:type="dxa"/>
            </w:tcMar>
            <w:vAlign w:val="top"/>
          </w:tcPr>
          <w:p>
            <w:pPr>
              <w:pStyle w:val="18"/>
              <w:rPr>
                <w:rFonts w:hint="default"/>
              </w:rPr>
            </w:pPr>
            <w:r>
              <w:rPr>
                <w:rFonts w:ascii="宋体" w:hAnsi="宋体" w:cs="宋体"/>
                <w:sz w:val="24"/>
              </w:rPr>
              <w:t>a）应将设备或主要部件进行固定，并设置明显的不易除去的标识；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5" w:type="dxa"/>
            <w:tcMar>
              <w:top w:w="90" w:type="dxa"/>
              <w:left w:w="90" w:type="dxa"/>
              <w:bottom w:w="90" w:type="dxa"/>
              <w:right w:w="90" w:type="dxa"/>
            </w:tcMar>
            <w:vAlign w:val="top"/>
          </w:tcPr>
          <w:p>
            <w:pPr>
              <w:pStyle w:val="18"/>
              <w:jc w:val="center"/>
              <w:rPr>
                <w:rFonts w:hint="default"/>
              </w:rPr>
            </w:pPr>
            <w:r>
              <w:rPr>
                <w:rFonts w:ascii="宋体" w:hAnsi="宋体" w:cs="宋体"/>
                <w:sz w:val="24"/>
              </w:rPr>
              <w:t>5</w:t>
            </w:r>
          </w:p>
        </w:tc>
        <w:tc>
          <w:tcPr>
            <w:tcW w:w="1576" w:type="dxa"/>
            <w:vMerge w:val="continue"/>
            <w:vAlign w:val="top"/>
          </w:tcPr>
          <w:p/>
        </w:tc>
        <w:tc>
          <w:tcPr>
            <w:tcW w:w="7437" w:type="dxa"/>
            <w:tcMar>
              <w:top w:w="90" w:type="dxa"/>
              <w:left w:w="90" w:type="dxa"/>
              <w:bottom w:w="90" w:type="dxa"/>
              <w:right w:w="90" w:type="dxa"/>
            </w:tcMar>
            <w:vAlign w:val="top"/>
          </w:tcPr>
          <w:p>
            <w:pPr>
              <w:pStyle w:val="18"/>
              <w:rPr>
                <w:rFonts w:hint="default"/>
              </w:rPr>
            </w:pPr>
            <w:r>
              <w:rPr>
                <w:rFonts w:ascii="宋体" w:hAnsi="宋体" w:cs="宋体"/>
                <w:sz w:val="24"/>
              </w:rPr>
              <w:t>b）应将通信线缆铺设在隐蔽安全处；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5" w:type="dxa"/>
            <w:tcMar>
              <w:top w:w="90" w:type="dxa"/>
              <w:left w:w="90" w:type="dxa"/>
              <w:bottom w:w="90" w:type="dxa"/>
              <w:right w:w="90" w:type="dxa"/>
            </w:tcMar>
            <w:vAlign w:val="top"/>
          </w:tcPr>
          <w:p>
            <w:pPr>
              <w:pStyle w:val="18"/>
              <w:jc w:val="center"/>
              <w:rPr>
                <w:rFonts w:hint="default"/>
              </w:rPr>
            </w:pPr>
            <w:r>
              <w:rPr>
                <w:rFonts w:ascii="宋体" w:hAnsi="宋体" w:cs="宋体"/>
                <w:sz w:val="24"/>
              </w:rPr>
              <w:t>6</w:t>
            </w:r>
          </w:p>
        </w:tc>
        <w:tc>
          <w:tcPr>
            <w:tcW w:w="1576" w:type="dxa"/>
            <w:vMerge w:val="continue"/>
            <w:vAlign w:val="top"/>
          </w:tcPr>
          <w:p/>
        </w:tc>
        <w:tc>
          <w:tcPr>
            <w:tcW w:w="7437" w:type="dxa"/>
            <w:tcMar>
              <w:top w:w="90" w:type="dxa"/>
              <w:left w:w="90" w:type="dxa"/>
              <w:bottom w:w="90" w:type="dxa"/>
              <w:right w:w="90" w:type="dxa"/>
            </w:tcMar>
            <w:vAlign w:val="top"/>
          </w:tcPr>
          <w:p>
            <w:pPr>
              <w:pStyle w:val="18"/>
              <w:rPr>
                <w:rFonts w:hint="default"/>
              </w:rPr>
            </w:pPr>
            <w:r>
              <w:rPr>
                <w:rFonts w:ascii="宋体" w:hAnsi="宋体" w:cs="宋体"/>
                <w:sz w:val="24"/>
              </w:rPr>
              <w:t>c）应设置机房防盗报警系统或设置有专人值守的视频监控系统。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5" w:type="dxa"/>
            <w:tcMar>
              <w:top w:w="90" w:type="dxa"/>
              <w:left w:w="90" w:type="dxa"/>
              <w:bottom w:w="90" w:type="dxa"/>
              <w:right w:w="90" w:type="dxa"/>
            </w:tcMar>
            <w:vAlign w:val="top"/>
          </w:tcPr>
          <w:p>
            <w:pPr>
              <w:pStyle w:val="18"/>
              <w:jc w:val="center"/>
              <w:rPr>
                <w:rFonts w:hint="default"/>
              </w:rPr>
            </w:pPr>
            <w:r>
              <w:rPr>
                <w:rFonts w:ascii="宋体" w:hAnsi="宋体" w:cs="宋体"/>
                <w:sz w:val="24"/>
              </w:rPr>
              <w:t>7</w:t>
            </w:r>
          </w:p>
        </w:tc>
        <w:tc>
          <w:tcPr>
            <w:tcW w:w="1576" w:type="dxa"/>
            <w:vMerge w:val="restart"/>
            <w:tcMar>
              <w:top w:w="90" w:type="dxa"/>
              <w:left w:w="90" w:type="dxa"/>
              <w:bottom w:w="90" w:type="dxa"/>
              <w:right w:w="90" w:type="dxa"/>
            </w:tcMar>
            <w:vAlign w:val="top"/>
          </w:tcPr>
          <w:p>
            <w:pPr>
              <w:pStyle w:val="18"/>
              <w:jc w:val="center"/>
              <w:rPr>
                <w:rFonts w:hint="default"/>
              </w:rPr>
            </w:pPr>
            <w:r>
              <w:rPr>
                <w:rFonts w:ascii="宋体" w:hAnsi="宋体" w:cs="宋体"/>
                <w:sz w:val="24"/>
              </w:rPr>
              <w:t>防雷击</w:t>
            </w:r>
          </w:p>
        </w:tc>
        <w:tc>
          <w:tcPr>
            <w:tcW w:w="7437" w:type="dxa"/>
            <w:tcMar>
              <w:top w:w="90" w:type="dxa"/>
              <w:left w:w="90" w:type="dxa"/>
              <w:bottom w:w="90" w:type="dxa"/>
              <w:right w:w="90" w:type="dxa"/>
            </w:tcMar>
            <w:vAlign w:val="top"/>
          </w:tcPr>
          <w:p>
            <w:pPr>
              <w:pStyle w:val="18"/>
              <w:rPr>
                <w:rFonts w:hint="default"/>
              </w:rPr>
            </w:pPr>
            <w:r>
              <w:rPr>
                <w:rFonts w:ascii="宋体" w:hAnsi="宋体" w:cs="宋体"/>
                <w:sz w:val="24"/>
              </w:rPr>
              <w:t>a）应将各类机柜、设施和设备等通过接地系统安全接地；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5" w:type="dxa"/>
            <w:tcMar>
              <w:top w:w="90" w:type="dxa"/>
              <w:left w:w="90" w:type="dxa"/>
              <w:bottom w:w="90" w:type="dxa"/>
              <w:right w:w="90" w:type="dxa"/>
            </w:tcMar>
            <w:vAlign w:val="top"/>
          </w:tcPr>
          <w:p>
            <w:pPr>
              <w:pStyle w:val="18"/>
              <w:jc w:val="center"/>
              <w:rPr>
                <w:rFonts w:hint="default"/>
              </w:rPr>
            </w:pPr>
            <w:r>
              <w:rPr>
                <w:rFonts w:ascii="宋体" w:hAnsi="宋体" w:cs="宋体"/>
                <w:sz w:val="24"/>
              </w:rPr>
              <w:t>8</w:t>
            </w:r>
          </w:p>
        </w:tc>
        <w:tc>
          <w:tcPr>
            <w:tcW w:w="1576" w:type="dxa"/>
            <w:vMerge w:val="continue"/>
            <w:vAlign w:val="top"/>
          </w:tcPr>
          <w:p/>
        </w:tc>
        <w:tc>
          <w:tcPr>
            <w:tcW w:w="7437" w:type="dxa"/>
            <w:tcMar>
              <w:top w:w="90" w:type="dxa"/>
              <w:left w:w="90" w:type="dxa"/>
              <w:bottom w:w="90" w:type="dxa"/>
              <w:right w:w="90" w:type="dxa"/>
            </w:tcMar>
            <w:vAlign w:val="top"/>
          </w:tcPr>
          <w:p>
            <w:pPr>
              <w:pStyle w:val="18"/>
              <w:rPr>
                <w:rFonts w:hint="default"/>
              </w:rPr>
            </w:pPr>
            <w:r>
              <w:rPr>
                <w:rFonts w:ascii="宋体" w:hAnsi="宋体" w:cs="宋体"/>
                <w:sz w:val="24"/>
              </w:rPr>
              <w:t>b）应采取措施防止感应雷，例如设置防雷保安器或过压保护装置等。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5" w:type="dxa"/>
            <w:tcMar>
              <w:top w:w="90" w:type="dxa"/>
              <w:left w:w="90" w:type="dxa"/>
              <w:bottom w:w="90" w:type="dxa"/>
              <w:right w:w="90" w:type="dxa"/>
            </w:tcMar>
            <w:vAlign w:val="top"/>
          </w:tcPr>
          <w:p>
            <w:pPr>
              <w:pStyle w:val="18"/>
              <w:jc w:val="center"/>
              <w:rPr>
                <w:rFonts w:hint="default"/>
              </w:rPr>
            </w:pPr>
            <w:r>
              <w:rPr>
                <w:rFonts w:ascii="宋体" w:hAnsi="宋体" w:cs="宋体"/>
                <w:sz w:val="24"/>
              </w:rPr>
              <w:t>9</w:t>
            </w:r>
          </w:p>
        </w:tc>
        <w:tc>
          <w:tcPr>
            <w:tcW w:w="1576" w:type="dxa"/>
            <w:vMerge w:val="restart"/>
            <w:tcMar>
              <w:top w:w="90" w:type="dxa"/>
              <w:left w:w="90" w:type="dxa"/>
              <w:bottom w:w="90" w:type="dxa"/>
              <w:right w:w="90" w:type="dxa"/>
            </w:tcMar>
            <w:vAlign w:val="top"/>
          </w:tcPr>
          <w:p>
            <w:pPr>
              <w:pStyle w:val="18"/>
              <w:jc w:val="center"/>
              <w:rPr>
                <w:rFonts w:hint="default"/>
              </w:rPr>
            </w:pPr>
            <w:r>
              <w:rPr>
                <w:rFonts w:ascii="宋体" w:hAnsi="宋体" w:cs="宋体"/>
                <w:sz w:val="24"/>
              </w:rPr>
              <w:t>防火</w:t>
            </w:r>
          </w:p>
        </w:tc>
        <w:tc>
          <w:tcPr>
            <w:tcW w:w="7437" w:type="dxa"/>
            <w:tcMar>
              <w:top w:w="90" w:type="dxa"/>
              <w:left w:w="90" w:type="dxa"/>
              <w:bottom w:w="90" w:type="dxa"/>
              <w:right w:w="90" w:type="dxa"/>
            </w:tcMar>
            <w:vAlign w:val="top"/>
          </w:tcPr>
          <w:p>
            <w:pPr>
              <w:pStyle w:val="18"/>
              <w:rPr>
                <w:rFonts w:hint="default"/>
              </w:rPr>
            </w:pPr>
            <w:r>
              <w:rPr>
                <w:rFonts w:ascii="宋体" w:hAnsi="宋体" w:cs="宋体"/>
                <w:sz w:val="24"/>
              </w:rPr>
              <w:t>a）机房应设置火灾自动消防系统，能够自动检测火情、自动报警，并自动灭火；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5" w:type="dxa"/>
            <w:tcMar>
              <w:top w:w="90" w:type="dxa"/>
              <w:left w:w="90" w:type="dxa"/>
              <w:bottom w:w="90" w:type="dxa"/>
              <w:right w:w="90" w:type="dxa"/>
            </w:tcMar>
            <w:vAlign w:val="top"/>
          </w:tcPr>
          <w:p>
            <w:pPr>
              <w:pStyle w:val="18"/>
              <w:jc w:val="center"/>
              <w:rPr>
                <w:rFonts w:hint="default"/>
              </w:rPr>
            </w:pPr>
            <w:r>
              <w:rPr>
                <w:rFonts w:ascii="宋体" w:hAnsi="宋体" w:cs="宋体"/>
                <w:sz w:val="24"/>
              </w:rPr>
              <w:t>10</w:t>
            </w:r>
          </w:p>
        </w:tc>
        <w:tc>
          <w:tcPr>
            <w:tcW w:w="1576" w:type="dxa"/>
            <w:vMerge w:val="continue"/>
            <w:vAlign w:val="top"/>
          </w:tcPr>
          <w:p/>
        </w:tc>
        <w:tc>
          <w:tcPr>
            <w:tcW w:w="7437" w:type="dxa"/>
            <w:tcMar>
              <w:top w:w="90" w:type="dxa"/>
              <w:left w:w="90" w:type="dxa"/>
              <w:bottom w:w="90" w:type="dxa"/>
              <w:right w:w="90" w:type="dxa"/>
            </w:tcMar>
            <w:vAlign w:val="top"/>
          </w:tcPr>
          <w:p>
            <w:pPr>
              <w:pStyle w:val="18"/>
              <w:rPr>
                <w:rFonts w:hint="default"/>
              </w:rPr>
            </w:pPr>
            <w:r>
              <w:rPr>
                <w:rFonts w:ascii="宋体" w:hAnsi="宋体" w:cs="宋体"/>
                <w:sz w:val="24"/>
              </w:rPr>
              <w:t>b）机房及相关的工作房间和辅助房应采用具有耐火等级的建筑材料；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5" w:type="dxa"/>
            <w:tcMar>
              <w:top w:w="90" w:type="dxa"/>
              <w:left w:w="90" w:type="dxa"/>
              <w:bottom w:w="90" w:type="dxa"/>
              <w:right w:w="90" w:type="dxa"/>
            </w:tcMar>
            <w:vAlign w:val="top"/>
          </w:tcPr>
          <w:p>
            <w:pPr>
              <w:pStyle w:val="18"/>
              <w:jc w:val="center"/>
              <w:rPr>
                <w:rFonts w:hint="default"/>
              </w:rPr>
            </w:pPr>
            <w:r>
              <w:rPr>
                <w:rFonts w:ascii="宋体" w:hAnsi="宋体" w:cs="宋体"/>
                <w:sz w:val="24"/>
              </w:rPr>
              <w:t>11</w:t>
            </w:r>
          </w:p>
        </w:tc>
        <w:tc>
          <w:tcPr>
            <w:tcW w:w="1576" w:type="dxa"/>
            <w:vMerge w:val="continue"/>
            <w:vAlign w:val="top"/>
          </w:tcPr>
          <w:p/>
        </w:tc>
        <w:tc>
          <w:tcPr>
            <w:tcW w:w="7437" w:type="dxa"/>
            <w:tcMar>
              <w:top w:w="90" w:type="dxa"/>
              <w:left w:w="90" w:type="dxa"/>
              <w:bottom w:w="90" w:type="dxa"/>
              <w:right w:w="90" w:type="dxa"/>
            </w:tcMar>
            <w:vAlign w:val="top"/>
          </w:tcPr>
          <w:p>
            <w:pPr>
              <w:pStyle w:val="18"/>
              <w:rPr>
                <w:rFonts w:hint="default"/>
              </w:rPr>
            </w:pPr>
            <w:r>
              <w:rPr>
                <w:rFonts w:ascii="宋体" w:hAnsi="宋体" w:cs="宋体"/>
                <w:sz w:val="24"/>
              </w:rPr>
              <w:t>c）应对机房划分区域进行管理，区域和区域之间设置隔离防火措施。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5" w:type="dxa"/>
            <w:tcMar>
              <w:top w:w="90" w:type="dxa"/>
              <w:left w:w="90" w:type="dxa"/>
              <w:bottom w:w="90" w:type="dxa"/>
              <w:right w:w="90" w:type="dxa"/>
            </w:tcMar>
            <w:vAlign w:val="top"/>
          </w:tcPr>
          <w:p>
            <w:pPr>
              <w:pStyle w:val="18"/>
              <w:jc w:val="center"/>
              <w:rPr>
                <w:rFonts w:hint="default"/>
              </w:rPr>
            </w:pPr>
            <w:r>
              <w:rPr>
                <w:rFonts w:ascii="宋体" w:hAnsi="宋体" w:cs="宋体"/>
                <w:sz w:val="24"/>
              </w:rPr>
              <w:t>12</w:t>
            </w:r>
          </w:p>
        </w:tc>
        <w:tc>
          <w:tcPr>
            <w:tcW w:w="1576" w:type="dxa"/>
            <w:vMerge w:val="restart"/>
            <w:tcMar>
              <w:top w:w="90" w:type="dxa"/>
              <w:left w:w="90" w:type="dxa"/>
              <w:bottom w:w="90" w:type="dxa"/>
              <w:right w:w="90" w:type="dxa"/>
            </w:tcMar>
            <w:vAlign w:val="top"/>
          </w:tcPr>
          <w:p>
            <w:pPr>
              <w:pStyle w:val="18"/>
              <w:jc w:val="center"/>
              <w:rPr>
                <w:rFonts w:hint="default"/>
              </w:rPr>
            </w:pPr>
            <w:r>
              <w:rPr>
                <w:rFonts w:ascii="宋体" w:hAnsi="宋体" w:cs="宋体"/>
                <w:sz w:val="24"/>
              </w:rPr>
              <w:t>防水和防潮</w:t>
            </w:r>
          </w:p>
        </w:tc>
        <w:tc>
          <w:tcPr>
            <w:tcW w:w="7437" w:type="dxa"/>
            <w:tcMar>
              <w:top w:w="90" w:type="dxa"/>
              <w:left w:w="90" w:type="dxa"/>
              <w:bottom w:w="90" w:type="dxa"/>
              <w:right w:w="90" w:type="dxa"/>
            </w:tcMar>
            <w:vAlign w:val="top"/>
          </w:tcPr>
          <w:p>
            <w:pPr>
              <w:pStyle w:val="18"/>
              <w:rPr>
                <w:rFonts w:hint="default"/>
              </w:rPr>
            </w:pPr>
            <w:r>
              <w:rPr>
                <w:rFonts w:ascii="宋体" w:hAnsi="宋体" w:cs="宋体"/>
                <w:sz w:val="24"/>
              </w:rPr>
              <w:t>a）应采取措施防止雨水通过机房窗户、屋顶和墙壁渗透；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5" w:type="dxa"/>
            <w:tcMar>
              <w:top w:w="90" w:type="dxa"/>
              <w:left w:w="90" w:type="dxa"/>
              <w:bottom w:w="90" w:type="dxa"/>
              <w:right w:w="90" w:type="dxa"/>
            </w:tcMar>
            <w:vAlign w:val="top"/>
          </w:tcPr>
          <w:p>
            <w:pPr>
              <w:pStyle w:val="18"/>
              <w:jc w:val="center"/>
              <w:rPr>
                <w:rFonts w:hint="default"/>
              </w:rPr>
            </w:pPr>
            <w:r>
              <w:rPr>
                <w:rFonts w:ascii="宋体" w:hAnsi="宋体" w:cs="宋体"/>
                <w:sz w:val="24"/>
              </w:rPr>
              <w:t>13</w:t>
            </w:r>
          </w:p>
        </w:tc>
        <w:tc>
          <w:tcPr>
            <w:tcW w:w="1576" w:type="dxa"/>
            <w:vMerge w:val="continue"/>
            <w:vAlign w:val="top"/>
          </w:tcPr>
          <w:p/>
        </w:tc>
        <w:tc>
          <w:tcPr>
            <w:tcW w:w="7437" w:type="dxa"/>
            <w:tcMar>
              <w:top w:w="90" w:type="dxa"/>
              <w:left w:w="90" w:type="dxa"/>
              <w:bottom w:w="90" w:type="dxa"/>
              <w:right w:w="90" w:type="dxa"/>
            </w:tcMar>
            <w:vAlign w:val="top"/>
          </w:tcPr>
          <w:p>
            <w:pPr>
              <w:pStyle w:val="18"/>
              <w:rPr>
                <w:rFonts w:hint="default"/>
              </w:rPr>
            </w:pPr>
            <w:r>
              <w:rPr>
                <w:rFonts w:ascii="宋体" w:hAnsi="宋体" w:cs="宋体"/>
                <w:sz w:val="24"/>
              </w:rPr>
              <w:t>b）应采取措施防止机房内水蒸气结露和地下积水的转移与渗透；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5" w:type="dxa"/>
            <w:tcMar>
              <w:top w:w="90" w:type="dxa"/>
              <w:left w:w="90" w:type="dxa"/>
              <w:bottom w:w="90" w:type="dxa"/>
              <w:right w:w="90" w:type="dxa"/>
            </w:tcMar>
            <w:vAlign w:val="top"/>
          </w:tcPr>
          <w:p>
            <w:pPr>
              <w:pStyle w:val="18"/>
              <w:jc w:val="center"/>
              <w:rPr>
                <w:rFonts w:hint="default"/>
              </w:rPr>
            </w:pPr>
            <w:r>
              <w:rPr>
                <w:rFonts w:ascii="宋体" w:hAnsi="宋体" w:cs="宋体"/>
                <w:sz w:val="24"/>
              </w:rPr>
              <w:t>14</w:t>
            </w:r>
          </w:p>
        </w:tc>
        <w:tc>
          <w:tcPr>
            <w:tcW w:w="1576" w:type="dxa"/>
            <w:vMerge w:val="continue"/>
            <w:vAlign w:val="top"/>
          </w:tcPr>
          <w:p/>
        </w:tc>
        <w:tc>
          <w:tcPr>
            <w:tcW w:w="7437" w:type="dxa"/>
            <w:tcMar>
              <w:top w:w="90" w:type="dxa"/>
              <w:left w:w="90" w:type="dxa"/>
              <w:bottom w:w="90" w:type="dxa"/>
              <w:right w:w="90" w:type="dxa"/>
            </w:tcMar>
            <w:vAlign w:val="top"/>
          </w:tcPr>
          <w:p>
            <w:pPr>
              <w:pStyle w:val="18"/>
              <w:rPr>
                <w:rFonts w:hint="default"/>
              </w:rPr>
            </w:pPr>
            <w:r>
              <w:rPr>
                <w:rFonts w:ascii="宋体" w:hAnsi="宋体" w:cs="宋体"/>
                <w:sz w:val="24"/>
              </w:rPr>
              <w:t>c）应安装对水敏感的检测仪表或元件，对机房进行防水检测和报警。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5" w:type="dxa"/>
            <w:tcMar>
              <w:top w:w="90" w:type="dxa"/>
              <w:left w:w="90" w:type="dxa"/>
              <w:bottom w:w="90" w:type="dxa"/>
              <w:right w:w="90" w:type="dxa"/>
            </w:tcMar>
            <w:vAlign w:val="top"/>
          </w:tcPr>
          <w:p>
            <w:pPr>
              <w:pStyle w:val="18"/>
              <w:jc w:val="center"/>
              <w:rPr>
                <w:rFonts w:hint="default"/>
              </w:rPr>
            </w:pPr>
            <w:r>
              <w:rPr>
                <w:rFonts w:ascii="宋体" w:hAnsi="宋体" w:cs="宋体"/>
                <w:sz w:val="24"/>
              </w:rPr>
              <w:t>15</w:t>
            </w:r>
          </w:p>
        </w:tc>
        <w:tc>
          <w:tcPr>
            <w:tcW w:w="1576" w:type="dxa"/>
            <w:vMerge w:val="restart"/>
            <w:tcMar>
              <w:top w:w="90" w:type="dxa"/>
              <w:left w:w="90" w:type="dxa"/>
              <w:bottom w:w="90" w:type="dxa"/>
              <w:right w:w="90" w:type="dxa"/>
            </w:tcMar>
            <w:vAlign w:val="top"/>
          </w:tcPr>
          <w:p>
            <w:pPr>
              <w:pStyle w:val="18"/>
              <w:jc w:val="center"/>
              <w:rPr>
                <w:rFonts w:hint="default"/>
              </w:rPr>
            </w:pPr>
            <w:r>
              <w:rPr>
                <w:rFonts w:ascii="宋体" w:hAnsi="宋体" w:cs="宋体"/>
                <w:sz w:val="24"/>
              </w:rPr>
              <w:t>防静电</w:t>
            </w:r>
          </w:p>
        </w:tc>
        <w:tc>
          <w:tcPr>
            <w:tcW w:w="7437" w:type="dxa"/>
            <w:tcMar>
              <w:top w:w="90" w:type="dxa"/>
              <w:left w:w="90" w:type="dxa"/>
              <w:bottom w:w="90" w:type="dxa"/>
              <w:right w:w="90" w:type="dxa"/>
            </w:tcMar>
            <w:vAlign w:val="top"/>
          </w:tcPr>
          <w:p>
            <w:pPr>
              <w:pStyle w:val="18"/>
              <w:rPr>
                <w:rFonts w:hint="default"/>
              </w:rPr>
            </w:pPr>
            <w:r>
              <w:rPr>
                <w:rFonts w:ascii="宋体" w:hAnsi="宋体" w:cs="宋体"/>
                <w:sz w:val="24"/>
              </w:rPr>
              <w:t>a）应采用防静电地板或地面并采用必要的接地防静电措施；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5" w:type="dxa"/>
            <w:tcMar>
              <w:top w:w="90" w:type="dxa"/>
              <w:left w:w="90" w:type="dxa"/>
              <w:bottom w:w="90" w:type="dxa"/>
              <w:right w:w="90" w:type="dxa"/>
            </w:tcMar>
            <w:vAlign w:val="top"/>
          </w:tcPr>
          <w:p>
            <w:pPr>
              <w:pStyle w:val="18"/>
              <w:jc w:val="center"/>
              <w:rPr>
                <w:rFonts w:hint="default"/>
              </w:rPr>
            </w:pPr>
            <w:r>
              <w:rPr>
                <w:rFonts w:ascii="宋体" w:hAnsi="宋体" w:cs="宋体"/>
                <w:sz w:val="24"/>
              </w:rPr>
              <w:t>16</w:t>
            </w:r>
          </w:p>
        </w:tc>
        <w:tc>
          <w:tcPr>
            <w:tcW w:w="1576" w:type="dxa"/>
            <w:vMerge w:val="continue"/>
            <w:vAlign w:val="top"/>
          </w:tcPr>
          <w:p/>
        </w:tc>
        <w:tc>
          <w:tcPr>
            <w:tcW w:w="7437" w:type="dxa"/>
            <w:tcMar>
              <w:top w:w="90" w:type="dxa"/>
              <w:left w:w="90" w:type="dxa"/>
              <w:bottom w:w="90" w:type="dxa"/>
              <w:right w:w="90" w:type="dxa"/>
            </w:tcMar>
            <w:vAlign w:val="top"/>
          </w:tcPr>
          <w:p>
            <w:pPr>
              <w:pStyle w:val="18"/>
              <w:rPr>
                <w:rFonts w:hint="default"/>
              </w:rPr>
            </w:pPr>
            <w:r>
              <w:rPr>
                <w:rFonts w:ascii="宋体" w:hAnsi="宋体" w:cs="宋体"/>
                <w:sz w:val="24"/>
              </w:rPr>
              <w:t>b）应采取措施防止静电的产生，例如采用静电消除器、佩戴防静电手环等。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5" w:type="dxa"/>
            <w:tcMar>
              <w:top w:w="90" w:type="dxa"/>
              <w:left w:w="90" w:type="dxa"/>
              <w:bottom w:w="90" w:type="dxa"/>
              <w:right w:w="90" w:type="dxa"/>
            </w:tcMar>
            <w:vAlign w:val="top"/>
          </w:tcPr>
          <w:p>
            <w:pPr>
              <w:pStyle w:val="18"/>
              <w:jc w:val="center"/>
              <w:rPr>
                <w:rFonts w:hint="default"/>
              </w:rPr>
            </w:pPr>
            <w:r>
              <w:rPr>
                <w:rFonts w:ascii="宋体" w:hAnsi="宋体" w:cs="宋体"/>
                <w:sz w:val="24"/>
              </w:rPr>
              <w:t>17</w:t>
            </w:r>
          </w:p>
        </w:tc>
        <w:tc>
          <w:tcPr>
            <w:tcW w:w="1576" w:type="dxa"/>
            <w:tcMar>
              <w:top w:w="90" w:type="dxa"/>
              <w:left w:w="90" w:type="dxa"/>
              <w:bottom w:w="90" w:type="dxa"/>
              <w:right w:w="90" w:type="dxa"/>
            </w:tcMar>
            <w:vAlign w:val="top"/>
          </w:tcPr>
          <w:p>
            <w:pPr>
              <w:pStyle w:val="18"/>
              <w:jc w:val="center"/>
              <w:rPr>
                <w:rFonts w:hint="default"/>
              </w:rPr>
            </w:pPr>
            <w:r>
              <w:rPr>
                <w:rFonts w:ascii="宋体" w:hAnsi="宋体" w:cs="宋体"/>
                <w:sz w:val="24"/>
              </w:rPr>
              <w:t>温湿度控制</w:t>
            </w:r>
          </w:p>
        </w:tc>
        <w:tc>
          <w:tcPr>
            <w:tcW w:w="7437" w:type="dxa"/>
            <w:tcMar>
              <w:top w:w="90" w:type="dxa"/>
              <w:left w:w="90" w:type="dxa"/>
              <w:bottom w:w="90" w:type="dxa"/>
              <w:right w:w="90" w:type="dxa"/>
            </w:tcMar>
            <w:vAlign w:val="top"/>
          </w:tcPr>
          <w:p>
            <w:pPr>
              <w:pStyle w:val="18"/>
              <w:rPr>
                <w:rFonts w:hint="default"/>
              </w:rPr>
            </w:pPr>
            <w:r>
              <w:rPr>
                <w:rFonts w:ascii="宋体" w:hAnsi="宋体" w:cs="宋体"/>
                <w:sz w:val="24"/>
              </w:rPr>
              <w:t>a）应设置温湿度自动调节设施，使机房温湿度的变化在设备运行所允许的范围之内。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5" w:type="dxa"/>
            <w:tcMar>
              <w:top w:w="90" w:type="dxa"/>
              <w:left w:w="90" w:type="dxa"/>
              <w:bottom w:w="90" w:type="dxa"/>
              <w:right w:w="90" w:type="dxa"/>
            </w:tcMar>
            <w:vAlign w:val="top"/>
          </w:tcPr>
          <w:p>
            <w:pPr>
              <w:pStyle w:val="18"/>
              <w:jc w:val="center"/>
              <w:rPr>
                <w:rFonts w:hint="default"/>
              </w:rPr>
            </w:pPr>
            <w:r>
              <w:rPr>
                <w:rFonts w:ascii="宋体" w:hAnsi="宋体" w:cs="宋体"/>
                <w:sz w:val="24"/>
              </w:rPr>
              <w:t>18</w:t>
            </w:r>
          </w:p>
        </w:tc>
        <w:tc>
          <w:tcPr>
            <w:tcW w:w="1576" w:type="dxa"/>
            <w:vMerge w:val="restart"/>
            <w:tcMar>
              <w:top w:w="90" w:type="dxa"/>
              <w:left w:w="90" w:type="dxa"/>
              <w:bottom w:w="90" w:type="dxa"/>
              <w:right w:w="90" w:type="dxa"/>
            </w:tcMar>
            <w:vAlign w:val="top"/>
          </w:tcPr>
          <w:p>
            <w:pPr>
              <w:pStyle w:val="18"/>
              <w:jc w:val="center"/>
              <w:rPr>
                <w:rFonts w:hint="default"/>
              </w:rPr>
            </w:pPr>
            <w:r>
              <w:rPr>
                <w:rFonts w:ascii="宋体" w:hAnsi="宋体" w:cs="宋体"/>
                <w:sz w:val="24"/>
              </w:rPr>
              <w:t>电力供应</w:t>
            </w:r>
          </w:p>
        </w:tc>
        <w:tc>
          <w:tcPr>
            <w:tcW w:w="7437" w:type="dxa"/>
            <w:tcMar>
              <w:top w:w="90" w:type="dxa"/>
              <w:left w:w="90" w:type="dxa"/>
              <w:bottom w:w="90" w:type="dxa"/>
              <w:right w:w="90" w:type="dxa"/>
            </w:tcMar>
            <w:vAlign w:val="top"/>
          </w:tcPr>
          <w:p>
            <w:pPr>
              <w:pStyle w:val="18"/>
              <w:rPr>
                <w:rFonts w:hint="default"/>
              </w:rPr>
            </w:pPr>
            <w:r>
              <w:rPr>
                <w:rFonts w:ascii="宋体" w:hAnsi="宋体" w:cs="宋体"/>
                <w:sz w:val="24"/>
              </w:rPr>
              <w:t>a）应在机房供电线路上配置稳压器和过电压防护设备；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5" w:type="dxa"/>
            <w:tcMar>
              <w:top w:w="90" w:type="dxa"/>
              <w:left w:w="90" w:type="dxa"/>
              <w:bottom w:w="90" w:type="dxa"/>
              <w:right w:w="90" w:type="dxa"/>
            </w:tcMar>
            <w:vAlign w:val="top"/>
          </w:tcPr>
          <w:p>
            <w:pPr>
              <w:pStyle w:val="18"/>
              <w:jc w:val="center"/>
              <w:rPr>
                <w:rFonts w:hint="default"/>
              </w:rPr>
            </w:pPr>
            <w:r>
              <w:rPr>
                <w:rFonts w:ascii="宋体" w:hAnsi="宋体" w:cs="宋体"/>
                <w:sz w:val="24"/>
              </w:rPr>
              <w:t>19</w:t>
            </w:r>
          </w:p>
        </w:tc>
        <w:tc>
          <w:tcPr>
            <w:tcW w:w="1576" w:type="dxa"/>
            <w:vMerge w:val="continue"/>
            <w:vAlign w:val="top"/>
          </w:tcPr>
          <w:p/>
        </w:tc>
        <w:tc>
          <w:tcPr>
            <w:tcW w:w="7437" w:type="dxa"/>
            <w:tcMar>
              <w:top w:w="90" w:type="dxa"/>
              <w:left w:w="90" w:type="dxa"/>
              <w:bottom w:w="90" w:type="dxa"/>
              <w:right w:w="90" w:type="dxa"/>
            </w:tcMar>
            <w:vAlign w:val="top"/>
          </w:tcPr>
          <w:p>
            <w:pPr>
              <w:pStyle w:val="18"/>
              <w:rPr>
                <w:rFonts w:hint="default"/>
              </w:rPr>
            </w:pPr>
            <w:r>
              <w:rPr>
                <w:rFonts w:ascii="宋体" w:hAnsi="宋体" w:cs="宋体"/>
                <w:sz w:val="24"/>
              </w:rPr>
              <w:t>b）应提供短期的备用电力供应，至少满足设备在断电情况下的正常运行要求；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5" w:type="dxa"/>
            <w:tcMar>
              <w:top w:w="90" w:type="dxa"/>
              <w:left w:w="90" w:type="dxa"/>
              <w:bottom w:w="90" w:type="dxa"/>
              <w:right w:w="90" w:type="dxa"/>
            </w:tcMar>
            <w:vAlign w:val="top"/>
          </w:tcPr>
          <w:p>
            <w:pPr>
              <w:pStyle w:val="18"/>
              <w:jc w:val="center"/>
              <w:rPr>
                <w:rFonts w:hint="default"/>
              </w:rPr>
            </w:pPr>
            <w:r>
              <w:rPr>
                <w:rFonts w:ascii="宋体" w:hAnsi="宋体" w:cs="宋体"/>
                <w:sz w:val="24"/>
              </w:rPr>
              <w:t>20</w:t>
            </w:r>
          </w:p>
        </w:tc>
        <w:tc>
          <w:tcPr>
            <w:tcW w:w="1576" w:type="dxa"/>
            <w:vMerge w:val="continue"/>
            <w:vAlign w:val="top"/>
          </w:tcPr>
          <w:p/>
        </w:tc>
        <w:tc>
          <w:tcPr>
            <w:tcW w:w="7437" w:type="dxa"/>
            <w:tcMar>
              <w:top w:w="90" w:type="dxa"/>
              <w:left w:w="90" w:type="dxa"/>
              <w:bottom w:w="90" w:type="dxa"/>
              <w:right w:w="90" w:type="dxa"/>
            </w:tcMar>
            <w:vAlign w:val="top"/>
          </w:tcPr>
          <w:p>
            <w:pPr>
              <w:pStyle w:val="18"/>
              <w:rPr>
                <w:rFonts w:hint="default"/>
              </w:rPr>
            </w:pPr>
            <w:r>
              <w:rPr>
                <w:rFonts w:ascii="宋体" w:hAnsi="宋体" w:cs="宋体"/>
                <w:sz w:val="24"/>
              </w:rPr>
              <w:t>c）应设置冗余或并行的电力电缆线路为计算机系统供电。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5" w:type="dxa"/>
            <w:tcMar>
              <w:top w:w="90" w:type="dxa"/>
              <w:left w:w="90" w:type="dxa"/>
              <w:bottom w:w="90" w:type="dxa"/>
              <w:right w:w="90" w:type="dxa"/>
            </w:tcMar>
            <w:vAlign w:val="top"/>
          </w:tcPr>
          <w:p>
            <w:pPr>
              <w:pStyle w:val="18"/>
              <w:jc w:val="center"/>
              <w:rPr>
                <w:rFonts w:hint="default"/>
              </w:rPr>
            </w:pPr>
            <w:r>
              <w:rPr>
                <w:rFonts w:ascii="宋体" w:hAnsi="宋体" w:cs="宋体"/>
                <w:sz w:val="24"/>
              </w:rPr>
              <w:t>21</w:t>
            </w:r>
          </w:p>
        </w:tc>
        <w:tc>
          <w:tcPr>
            <w:tcW w:w="1576" w:type="dxa"/>
            <w:vMerge w:val="restart"/>
            <w:tcMar>
              <w:top w:w="90" w:type="dxa"/>
              <w:left w:w="90" w:type="dxa"/>
              <w:bottom w:w="90" w:type="dxa"/>
              <w:right w:w="90" w:type="dxa"/>
            </w:tcMar>
            <w:vAlign w:val="top"/>
          </w:tcPr>
          <w:p>
            <w:pPr>
              <w:pStyle w:val="18"/>
              <w:jc w:val="center"/>
              <w:rPr>
                <w:rFonts w:hint="default"/>
              </w:rPr>
            </w:pPr>
            <w:r>
              <w:rPr>
                <w:rFonts w:ascii="宋体" w:hAnsi="宋体" w:cs="宋体"/>
                <w:sz w:val="24"/>
              </w:rPr>
              <w:t>电磁防护</w:t>
            </w:r>
          </w:p>
        </w:tc>
        <w:tc>
          <w:tcPr>
            <w:tcW w:w="7437" w:type="dxa"/>
            <w:tcMar>
              <w:top w:w="90" w:type="dxa"/>
              <w:left w:w="90" w:type="dxa"/>
              <w:bottom w:w="90" w:type="dxa"/>
              <w:right w:w="90" w:type="dxa"/>
            </w:tcMar>
            <w:vAlign w:val="top"/>
          </w:tcPr>
          <w:p>
            <w:pPr>
              <w:pStyle w:val="18"/>
              <w:rPr>
                <w:rFonts w:hint="default"/>
              </w:rPr>
            </w:pPr>
            <w:r>
              <w:rPr>
                <w:rFonts w:ascii="宋体" w:hAnsi="宋体" w:cs="宋体"/>
                <w:sz w:val="24"/>
              </w:rPr>
              <w:t>a）电源线和通信线缆应隔离铺设，避免互相干扰；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5" w:type="dxa"/>
            <w:tcMar>
              <w:top w:w="90" w:type="dxa"/>
              <w:left w:w="90" w:type="dxa"/>
              <w:bottom w:w="90" w:type="dxa"/>
              <w:right w:w="90" w:type="dxa"/>
            </w:tcMar>
            <w:vAlign w:val="top"/>
          </w:tcPr>
          <w:p>
            <w:pPr>
              <w:pStyle w:val="18"/>
              <w:jc w:val="center"/>
              <w:rPr>
                <w:rFonts w:hint="default"/>
              </w:rPr>
            </w:pPr>
            <w:r>
              <w:rPr>
                <w:rFonts w:ascii="宋体" w:hAnsi="宋体" w:cs="宋体"/>
                <w:sz w:val="24"/>
              </w:rPr>
              <w:t>22</w:t>
            </w:r>
          </w:p>
        </w:tc>
        <w:tc>
          <w:tcPr>
            <w:tcW w:w="1576" w:type="dxa"/>
            <w:vMerge w:val="continue"/>
            <w:vAlign w:val="top"/>
          </w:tcPr>
          <w:p/>
        </w:tc>
        <w:tc>
          <w:tcPr>
            <w:tcW w:w="7437" w:type="dxa"/>
            <w:tcMar>
              <w:top w:w="90" w:type="dxa"/>
              <w:left w:w="90" w:type="dxa"/>
              <w:bottom w:w="90" w:type="dxa"/>
              <w:right w:w="90" w:type="dxa"/>
            </w:tcMar>
            <w:vAlign w:val="top"/>
          </w:tcPr>
          <w:p>
            <w:pPr>
              <w:pStyle w:val="18"/>
              <w:rPr>
                <w:rFonts w:hint="default"/>
              </w:rPr>
            </w:pPr>
            <w:r>
              <w:rPr>
                <w:rFonts w:ascii="宋体" w:hAnsi="宋体" w:cs="宋体"/>
                <w:sz w:val="24"/>
              </w:rPr>
              <w:t>b）应对关键设备实施电磁屏蔽。</w:t>
            </w:r>
          </w:p>
        </w:tc>
      </w:tr>
    </w:tbl>
    <w:p>
      <w:pPr>
        <w:pStyle w:val="18"/>
        <w:ind w:firstLine="482" w:firstLineChars="200"/>
        <w:jc w:val="both"/>
        <w:rPr>
          <w:rFonts w:hint="default"/>
        </w:rPr>
      </w:pPr>
      <w:r>
        <w:rPr>
          <w:rFonts w:ascii="宋体" w:hAnsi="宋体" w:cs="宋体"/>
          <w:b/>
          <w:sz w:val="24"/>
          <w:shd w:val="clear" w:color="auto" w:fill="FFFFFF"/>
        </w:rPr>
        <w:t>2.2.2.测评实施</w:t>
      </w:r>
    </w:p>
    <w:p>
      <w:pPr>
        <w:pStyle w:val="18"/>
        <w:ind w:firstLine="480"/>
        <w:jc w:val="both"/>
        <w:rPr>
          <w:rFonts w:hint="default"/>
        </w:rPr>
      </w:pPr>
      <w:r>
        <w:rPr>
          <w:rFonts w:ascii="宋体" w:hAnsi="宋体" w:cs="宋体"/>
          <w:sz w:val="24"/>
          <w:shd w:val="clear" w:color="auto" w:fill="FFFFFF"/>
        </w:rPr>
        <w:t>安全物理环境测评中，以文档查阅与分析和现场观测等检查方法为主，访谈为辅来获取测评证据（如机房的温湿度情况），用于评测机房的安全保护能力。</w:t>
      </w:r>
    </w:p>
    <w:p>
      <w:pPr>
        <w:pStyle w:val="18"/>
        <w:ind w:firstLine="480"/>
        <w:jc w:val="both"/>
        <w:rPr>
          <w:rFonts w:hint="default"/>
        </w:rPr>
      </w:pPr>
      <w:r>
        <w:rPr>
          <w:rFonts w:ascii="宋体" w:hAnsi="宋体" w:cs="宋体"/>
          <w:sz w:val="24"/>
          <w:shd w:val="clear" w:color="auto" w:fill="FFFFFF"/>
        </w:rPr>
        <w:t>安全物理环境测评涉及的测评对象主要为机房和相关的安全文档。</w:t>
      </w:r>
    </w:p>
    <w:p>
      <w:pPr>
        <w:pStyle w:val="18"/>
        <w:ind w:firstLine="482" w:firstLineChars="200"/>
        <w:jc w:val="both"/>
        <w:outlineLvl w:val="5"/>
        <w:rPr>
          <w:rFonts w:hint="default"/>
        </w:rPr>
      </w:pPr>
      <w:r>
        <w:rPr>
          <w:rFonts w:ascii="宋体" w:hAnsi="宋体" w:cs="宋体"/>
          <w:b/>
          <w:sz w:val="24"/>
          <w:shd w:val="clear" w:color="auto" w:fill="FFFFFF"/>
        </w:rPr>
        <w:t>2.3.安全通信网络测评</w:t>
      </w:r>
    </w:p>
    <w:p>
      <w:pPr>
        <w:pStyle w:val="18"/>
        <w:ind w:firstLine="482" w:firstLineChars="200"/>
        <w:jc w:val="both"/>
        <w:rPr>
          <w:rFonts w:hint="default"/>
        </w:rPr>
      </w:pPr>
      <w:r>
        <w:rPr>
          <w:rFonts w:ascii="宋体" w:hAnsi="宋体" w:cs="宋体"/>
          <w:b/>
          <w:sz w:val="24"/>
          <w:shd w:val="clear" w:color="auto" w:fill="FFFFFF"/>
        </w:rPr>
        <w:t>2.3.1.测评指标</w:t>
      </w:r>
    </w:p>
    <w:p>
      <w:pPr>
        <w:pStyle w:val="18"/>
        <w:jc w:val="center"/>
        <w:rPr>
          <w:rFonts w:hint="default"/>
        </w:rPr>
      </w:pPr>
      <w:r>
        <w:rPr>
          <w:rFonts w:ascii="宋体" w:hAnsi="宋体" w:cs="宋体"/>
          <w:sz w:val="24"/>
          <w:shd w:val="clear" w:color="auto" w:fill="FFFFFF"/>
        </w:rPr>
        <w:t>安全通信网络（通用要求）测评指标</w:t>
      </w:r>
    </w:p>
    <w:tbl>
      <w:tblPr>
        <w:tblStyle w:val="17"/>
        <w:tblW w:w="96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657"/>
        <w:gridCol w:w="8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9" w:type="dxa"/>
            <w:shd w:val="clear" w:color="auto" w:fill="BFBFBF"/>
            <w:tcMar>
              <w:top w:w="90" w:type="dxa"/>
              <w:left w:w="90" w:type="dxa"/>
              <w:bottom w:w="90" w:type="dxa"/>
              <w:right w:w="90" w:type="dxa"/>
            </w:tcMar>
            <w:vAlign w:val="top"/>
          </w:tcPr>
          <w:p>
            <w:pPr>
              <w:pStyle w:val="18"/>
              <w:jc w:val="center"/>
              <w:rPr>
                <w:rFonts w:hint="default"/>
              </w:rPr>
            </w:pPr>
            <w:r>
              <w:rPr>
                <w:rFonts w:ascii="宋体" w:hAnsi="宋体" w:cs="宋体"/>
                <w:b/>
                <w:sz w:val="24"/>
              </w:rPr>
              <w:t>序号</w:t>
            </w:r>
          </w:p>
        </w:tc>
        <w:tc>
          <w:tcPr>
            <w:tcW w:w="657" w:type="dxa"/>
            <w:shd w:val="clear" w:color="auto" w:fill="BFBFBF"/>
            <w:tcMar>
              <w:top w:w="90" w:type="dxa"/>
              <w:left w:w="90" w:type="dxa"/>
              <w:bottom w:w="90" w:type="dxa"/>
              <w:right w:w="90" w:type="dxa"/>
            </w:tcMar>
            <w:vAlign w:val="top"/>
          </w:tcPr>
          <w:p>
            <w:pPr>
              <w:pStyle w:val="18"/>
              <w:jc w:val="center"/>
              <w:rPr>
                <w:rFonts w:hint="default"/>
              </w:rPr>
            </w:pPr>
            <w:r>
              <w:rPr>
                <w:rFonts w:ascii="宋体" w:hAnsi="宋体" w:cs="宋体"/>
                <w:b/>
                <w:sz w:val="24"/>
              </w:rPr>
              <w:t>安全子类</w:t>
            </w:r>
          </w:p>
        </w:tc>
        <w:tc>
          <w:tcPr>
            <w:tcW w:w="8472" w:type="dxa"/>
            <w:shd w:val="clear" w:color="auto" w:fill="BFBFBF"/>
            <w:tcMar>
              <w:top w:w="90" w:type="dxa"/>
              <w:left w:w="90" w:type="dxa"/>
              <w:bottom w:w="90" w:type="dxa"/>
              <w:right w:w="90" w:type="dxa"/>
            </w:tcMar>
            <w:vAlign w:val="top"/>
          </w:tcPr>
          <w:p>
            <w:pPr>
              <w:pStyle w:val="18"/>
              <w:jc w:val="center"/>
              <w:rPr>
                <w:rFonts w:hint="default"/>
              </w:rPr>
            </w:pPr>
            <w:r>
              <w:rPr>
                <w:rFonts w:ascii="宋体" w:hAnsi="宋体" w:cs="宋体"/>
                <w:b/>
                <w:sz w:val="24"/>
              </w:rPr>
              <w:t>测评指标描述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9" w:type="dxa"/>
            <w:tcMar>
              <w:top w:w="90" w:type="dxa"/>
              <w:left w:w="90" w:type="dxa"/>
              <w:bottom w:w="90" w:type="dxa"/>
              <w:right w:w="90" w:type="dxa"/>
            </w:tcMar>
            <w:vAlign w:val="top"/>
          </w:tcPr>
          <w:p>
            <w:pPr>
              <w:pStyle w:val="18"/>
              <w:jc w:val="center"/>
              <w:rPr>
                <w:rFonts w:hint="default"/>
              </w:rPr>
            </w:pPr>
            <w:r>
              <w:rPr>
                <w:rFonts w:ascii="宋体" w:hAnsi="宋体" w:cs="宋体"/>
                <w:sz w:val="24"/>
              </w:rPr>
              <w:t>1</w:t>
            </w:r>
          </w:p>
        </w:tc>
        <w:tc>
          <w:tcPr>
            <w:tcW w:w="657" w:type="dxa"/>
            <w:vMerge w:val="restart"/>
            <w:tcMar>
              <w:top w:w="90" w:type="dxa"/>
              <w:left w:w="90" w:type="dxa"/>
              <w:bottom w:w="90" w:type="dxa"/>
              <w:right w:w="90" w:type="dxa"/>
            </w:tcMar>
            <w:vAlign w:val="top"/>
          </w:tcPr>
          <w:p>
            <w:pPr>
              <w:pStyle w:val="18"/>
              <w:jc w:val="center"/>
              <w:rPr>
                <w:rFonts w:hint="default"/>
              </w:rPr>
            </w:pPr>
            <w:r>
              <w:rPr>
                <w:rFonts w:ascii="宋体" w:hAnsi="宋体" w:cs="宋体"/>
                <w:sz w:val="24"/>
              </w:rPr>
              <w:t>网络架构</w:t>
            </w:r>
          </w:p>
        </w:tc>
        <w:tc>
          <w:tcPr>
            <w:tcW w:w="8472" w:type="dxa"/>
            <w:tcMar>
              <w:top w:w="90" w:type="dxa"/>
              <w:left w:w="90" w:type="dxa"/>
              <w:bottom w:w="90" w:type="dxa"/>
              <w:right w:w="90" w:type="dxa"/>
            </w:tcMar>
            <w:vAlign w:val="top"/>
          </w:tcPr>
          <w:p>
            <w:pPr>
              <w:pStyle w:val="18"/>
              <w:rPr>
                <w:rFonts w:hint="default"/>
              </w:rPr>
            </w:pPr>
            <w:r>
              <w:rPr>
                <w:rFonts w:ascii="宋体" w:hAnsi="宋体" w:cs="宋体"/>
                <w:sz w:val="24"/>
              </w:rPr>
              <w:t>a）应保证网络设备的业务处理能力满足业务高峰期需要；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9" w:type="dxa"/>
            <w:tcMar>
              <w:top w:w="90" w:type="dxa"/>
              <w:left w:w="90" w:type="dxa"/>
              <w:bottom w:w="90" w:type="dxa"/>
              <w:right w:w="90" w:type="dxa"/>
            </w:tcMar>
            <w:vAlign w:val="top"/>
          </w:tcPr>
          <w:p>
            <w:pPr>
              <w:pStyle w:val="18"/>
              <w:jc w:val="center"/>
              <w:rPr>
                <w:rFonts w:hint="default"/>
              </w:rPr>
            </w:pPr>
            <w:r>
              <w:rPr>
                <w:rFonts w:ascii="宋体" w:hAnsi="宋体" w:cs="宋体"/>
                <w:sz w:val="24"/>
              </w:rPr>
              <w:t>2</w:t>
            </w:r>
          </w:p>
        </w:tc>
        <w:tc>
          <w:tcPr>
            <w:tcW w:w="657" w:type="dxa"/>
            <w:vMerge w:val="continue"/>
            <w:vAlign w:val="top"/>
          </w:tcPr>
          <w:p/>
        </w:tc>
        <w:tc>
          <w:tcPr>
            <w:tcW w:w="8472" w:type="dxa"/>
            <w:tcMar>
              <w:top w:w="90" w:type="dxa"/>
              <w:left w:w="90" w:type="dxa"/>
              <w:bottom w:w="90" w:type="dxa"/>
              <w:right w:w="90" w:type="dxa"/>
            </w:tcMar>
            <w:vAlign w:val="top"/>
          </w:tcPr>
          <w:p>
            <w:pPr>
              <w:pStyle w:val="18"/>
              <w:rPr>
                <w:rFonts w:hint="default"/>
              </w:rPr>
            </w:pPr>
            <w:r>
              <w:rPr>
                <w:rFonts w:ascii="宋体" w:hAnsi="宋体" w:cs="宋体"/>
                <w:sz w:val="24"/>
              </w:rPr>
              <w:t>b）应保证网络各个部分的带宽满足业务高峰期需要；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9" w:type="dxa"/>
            <w:tcMar>
              <w:top w:w="90" w:type="dxa"/>
              <w:left w:w="90" w:type="dxa"/>
              <w:bottom w:w="90" w:type="dxa"/>
              <w:right w:w="90" w:type="dxa"/>
            </w:tcMar>
            <w:vAlign w:val="top"/>
          </w:tcPr>
          <w:p>
            <w:pPr>
              <w:pStyle w:val="18"/>
              <w:jc w:val="center"/>
              <w:rPr>
                <w:rFonts w:hint="default"/>
              </w:rPr>
            </w:pPr>
            <w:r>
              <w:rPr>
                <w:rFonts w:ascii="宋体" w:hAnsi="宋体" w:cs="宋体"/>
                <w:sz w:val="24"/>
              </w:rPr>
              <w:t>3</w:t>
            </w:r>
          </w:p>
        </w:tc>
        <w:tc>
          <w:tcPr>
            <w:tcW w:w="657" w:type="dxa"/>
            <w:vMerge w:val="continue"/>
            <w:vAlign w:val="top"/>
          </w:tcPr>
          <w:p/>
        </w:tc>
        <w:tc>
          <w:tcPr>
            <w:tcW w:w="8472" w:type="dxa"/>
            <w:tcMar>
              <w:top w:w="90" w:type="dxa"/>
              <w:left w:w="90" w:type="dxa"/>
              <w:bottom w:w="90" w:type="dxa"/>
              <w:right w:w="90" w:type="dxa"/>
            </w:tcMar>
            <w:vAlign w:val="top"/>
          </w:tcPr>
          <w:p>
            <w:pPr>
              <w:pStyle w:val="18"/>
              <w:rPr>
                <w:rFonts w:hint="default"/>
              </w:rPr>
            </w:pPr>
            <w:r>
              <w:rPr>
                <w:rFonts w:ascii="宋体" w:hAnsi="宋体" w:cs="宋体"/>
                <w:sz w:val="24"/>
              </w:rPr>
              <w:t>c）应划分不同的网络区域，并按照方便管理和控制的原则为各网络区域分配地址；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9" w:type="dxa"/>
            <w:tcMar>
              <w:top w:w="90" w:type="dxa"/>
              <w:left w:w="90" w:type="dxa"/>
              <w:bottom w:w="90" w:type="dxa"/>
              <w:right w:w="90" w:type="dxa"/>
            </w:tcMar>
            <w:vAlign w:val="top"/>
          </w:tcPr>
          <w:p>
            <w:pPr>
              <w:pStyle w:val="18"/>
              <w:jc w:val="center"/>
              <w:rPr>
                <w:rFonts w:hint="default"/>
              </w:rPr>
            </w:pPr>
            <w:r>
              <w:rPr>
                <w:rFonts w:ascii="宋体" w:hAnsi="宋体" w:cs="宋体"/>
                <w:sz w:val="24"/>
              </w:rPr>
              <w:t>4</w:t>
            </w:r>
          </w:p>
        </w:tc>
        <w:tc>
          <w:tcPr>
            <w:tcW w:w="657" w:type="dxa"/>
            <w:vMerge w:val="continue"/>
            <w:vAlign w:val="top"/>
          </w:tcPr>
          <w:p/>
        </w:tc>
        <w:tc>
          <w:tcPr>
            <w:tcW w:w="8472" w:type="dxa"/>
            <w:tcMar>
              <w:top w:w="90" w:type="dxa"/>
              <w:left w:w="90" w:type="dxa"/>
              <w:bottom w:w="90" w:type="dxa"/>
              <w:right w:w="90" w:type="dxa"/>
            </w:tcMar>
            <w:vAlign w:val="top"/>
          </w:tcPr>
          <w:p>
            <w:pPr>
              <w:pStyle w:val="18"/>
              <w:rPr>
                <w:rFonts w:hint="default"/>
              </w:rPr>
            </w:pPr>
            <w:r>
              <w:rPr>
                <w:rFonts w:ascii="宋体" w:hAnsi="宋体" w:cs="宋体"/>
                <w:sz w:val="24"/>
              </w:rPr>
              <w:t>d）应避免将重要网络区域部署在边界处，重要网络区域与其他网络区域之间应采取可靠的技术隔离手段；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9" w:type="dxa"/>
            <w:tcMar>
              <w:top w:w="90" w:type="dxa"/>
              <w:left w:w="90" w:type="dxa"/>
              <w:bottom w:w="90" w:type="dxa"/>
              <w:right w:w="90" w:type="dxa"/>
            </w:tcMar>
            <w:vAlign w:val="top"/>
          </w:tcPr>
          <w:p>
            <w:pPr>
              <w:pStyle w:val="18"/>
              <w:jc w:val="center"/>
              <w:rPr>
                <w:rFonts w:hint="default"/>
              </w:rPr>
            </w:pPr>
            <w:r>
              <w:rPr>
                <w:rFonts w:ascii="宋体" w:hAnsi="宋体" w:cs="宋体"/>
                <w:sz w:val="24"/>
              </w:rPr>
              <w:t>5</w:t>
            </w:r>
          </w:p>
        </w:tc>
        <w:tc>
          <w:tcPr>
            <w:tcW w:w="657" w:type="dxa"/>
            <w:vMerge w:val="continue"/>
            <w:vAlign w:val="top"/>
          </w:tcPr>
          <w:p/>
        </w:tc>
        <w:tc>
          <w:tcPr>
            <w:tcW w:w="8472" w:type="dxa"/>
            <w:tcMar>
              <w:top w:w="90" w:type="dxa"/>
              <w:left w:w="90" w:type="dxa"/>
              <w:bottom w:w="90" w:type="dxa"/>
              <w:right w:w="90" w:type="dxa"/>
            </w:tcMar>
            <w:vAlign w:val="top"/>
          </w:tcPr>
          <w:p>
            <w:pPr>
              <w:pStyle w:val="18"/>
              <w:rPr>
                <w:rFonts w:hint="default"/>
              </w:rPr>
            </w:pPr>
            <w:r>
              <w:rPr>
                <w:rFonts w:ascii="宋体" w:hAnsi="宋体" w:cs="宋体"/>
                <w:sz w:val="24"/>
              </w:rPr>
              <w:t>e）应提供通信线路、关键网络设备和关键计算设备的硬件冗余，保证系统的可用性。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9" w:type="dxa"/>
            <w:tcMar>
              <w:top w:w="90" w:type="dxa"/>
              <w:left w:w="90" w:type="dxa"/>
              <w:bottom w:w="90" w:type="dxa"/>
              <w:right w:w="90" w:type="dxa"/>
            </w:tcMar>
            <w:vAlign w:val="top"/>
          </w:tcPr>
          <w:p>
            <w:pPr>
              <w:pStyle w:val="18"/>
              <w:jc w:val="center"/>
              <w:rPr>
                <w:rFonts w:hint="default"/>
              </w:rPr>
            </w:pPr>
            <w:r>
              <w:rPr>
                <w:rFonts w:ascii="宋体" w:hAnsi="宋体" w:cs="宋体"/>
                <w:sz w:val="24"/>
              </w:rPr>
              <w:t>6</w:t>
            </w:r>
          </w:p>
        </w:tc>
        <w:tc>
          <w:tcPr>
            <w:tcW w:w="657" w:type="dxa"/>
            <w:vMerge w:val="restart"/>
            <w:tcMar>
              <w:top w:w="90" w:type="dxa"/>
              <w:left w:w="90" w:type="dxa"/>
              <w:bottom w:w="90" w:type="dxa"/>
              <w:right w:w="90" w:type="dxa"/>
            </w:tcMar>
            <w:vAlign w:val="top"/>
          </w:tcPr>
          <w:p>
            <w:pPr>
              <w:pStyle w:val="18"/>
              <w:jc w:val="center"/>
              <w:rPr>
                <w:rFonts w:hint="default"/>
              </w:rPr>
            </w:pPr>
            <w:r>
              <w:rPr>
                <w:rFonts w:ascii="宋体" w:hAnsi="宋体" w:cs="宋体"/>
                <w:sz w:val="24"/>
              </w:rPr>
              <w:t>通信传输</w:t>
            </w:r>
          </w:p>
        </w:tc>
        <w:tc>
          <w:tcPr>
            <w:tcW w:w="8472" w:type="dxa"/>
            <w:tcMar>
              <w:top w:w="90" w:type="dxa"/>
              <w:left w:w="90" w:type="dxa"/>
              <w:bottom w:w="90" w:type="dxa"/>
              <w:right w:w="90" w:type="dxa"/>
            </w:tcMar>
            <w:vAlign w:val="top"/>
          </w:tcPr>
          <w:p>
            <w:pPr>
              <w:pStyle w:val="18"/>
              <w:rPr>
                <w:rFonts w:hint="default"/>
              </w:rPr>
            </w:pPr>
            <w:r>
              <w:rPr>
                <w:rFonts w:ascii="宋体" w:hAnsi="宋体" w:cs="宋体"/>
                <w:sz w:val="24"/>
              </w:rPr>
              <w:t>a）应采用校验技术或密码技术保证通信过程中数据的完整性；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9" w:type="dxa"/>
            <w:tcMar>
              <w:top w:w="90" w:type="dxa"/>
              <w:left w:w="90" w:type="dxa"/>
              <w:bottom w:w="90" w:type="dxa"/>
              <w:right w:w="90" w:type="dxa"/>
            </w:tcMar>
            <w:vAlign w:val="top"/>
          </w:tcPr>
          <w:p>
            <w:pPr>
              <w:pStyle w:val="18"/>
              <w:jc w:val="center"/>
              <w:rPr>
                <w:rFonts w:hint="default"/>
              </w:rPr>
            </w:pPr>
            <w:r>
              <w:rPr>
                <w:rFonts w:ascii="宋体" w:hAnsi="宋体" w:cs="宋体"/>
                <w:sz w:val="24"/>
              </w:rPr>
              <w:t>7</w:t>
            </w:r>
          </w:p>
        </w:tc>
        <w:tc>
          <w:tcPr>
            <w:tcW w:w="657" w:type="dxa"/>
            <w:vMerge w:val="continue"/>
            <w:vAlign w:val="top"/>
          </w:tcPr>
          <w:p/>
        </w:tc>
        <w:tc>
          <w:tcPr>
            <w:tcW w:w="8472" w:type="dxa"/>
            <w:tcMar>
              <w:top w:w="90" w:type="dxa"/>
              <w:left w:w="90" w:type="dxa"/>
              <w:bottom w:w="90" w:type="dxa"/>
              <w:right w:w="90" w:type="dxa"/>
            </w:tcMar>
            <w:vAlign w:val="top"/>
          </w:tcPr>
          <w:p>
            <w:pPr>
              <w:pStyle w:val="18"/>
              <w:rPr>
                <w:rFonts w:hint="default"/>
              </w:rPr>
            </w:pPr>
            <w:r>
              <w:rPr>
                <w:rFonts w:ascii="宋体" w:hAnsi="宋体" w:cs="宋体"/>
                <w:sz w:val="24"/>
              </w:rPr>
              <w:t>b）应采用密码技术保证通信过程中数据的保密性。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9" w:type="dxa"/>
            <w:tcMar>
              <w:top w:w="90" w:type="dxa"/>
              <w:left w:w="90" w:type="dxa"/>
              <w:bottom w:w="90" w:type="dxa"/>
              <w:right w:w="90" w:type="dxa"/>
            </w:tcMar>
            <w:vAlign w:val="top"/>
          </w:tcPr>
          <w:p>
            <w:pPr>
              <w:pStyle w:val="18"/>
              <w:jc w:val="center"/>
              <w:rPr>
                <w:rFonts w:hint="default"/>
              </w:rPr>
            </w:pPr>
            <w:r>
              <w:rPr>
                <w:rFonts w:ascii="宋体" w:hAnsi="宋体" w:cs="宋体"/>
                <w:sz w:val="24"/>
              </w:rPr>
              <w:t>8</w:t>
            </w:r>
          </w:p>
        </w:tc>
        <w:tc>
          <w:tcPr>
            <w:tcW w:w="657" w:type="dxa"/>
            <w:tcMar>
              <w:top w:w="90" w:type="dxa"/>
              <w:left w:w="90" w:type="dxa"/>
              <w:bottom w:w="90" w:type="dxa"/>
              <w:right w:w="90" w:type="dxa"/>
            </w:tcMar>
            <w:vAlign w:val="top"/>
          </w:tcPr>
          <w:p>
            <w:pPr>
              <w:pStyle w:val="18"/>
              <w:jc w:val="center"/>
              <w:rPr>
                <w:rFonts w:hint="default"/>
              </w:rPr>
            </w:pPr>
            <w:r>
              <w:rPr>
                <w:rFonts w:ascii="宋体" w:hAnsi="宋体" w:cs="宋体"/>
                <w:sz w:val="24"/>
              </w:rPr>
              <w:t>可信验证</w:t>
            </w:r>
          </w:p>
        </w:tc>
        <w:tc>
          <w:tcPr>
            <w:tcW w:w="8472" w:type="dxa"/>
            <w:tcMar>
              <w:top w:w="90" w:type="dxa"/>
              <w:left w:w="90" w:type="dxa"/>
              <w:bottom w:w="90" w:type="dxa"/>
              <w:right w:w="90" w:type="dxa"/>
            </w:tcMar>
            <w:vAlign w:val="top"/>
          </w:tcPr>
          <w:p>
            <w:pPr>
              <w:pStyle w:val="18"/>
              <w:rPr>
                <w:rFonts w:hint="default"/>
              </w:rPr>
            </w:pPr>
            <w:r>
              <w:rPr>
                <w:rFonts w:ascii="宋体" w:hAnsi="宋体" w:cs="宋体"/>
                <w:sz w:val="24"/>
              </w:rPr>
              <w:t>a）可基于可信根对通信设备的系统引导程序、系统程序、重要配置参数和通信应用程序等进行可信验证，并在应用程序的关键执行环节进行动态可信验证，在检测到其可信性受到破坏后进行报警，并将验证结果形成审计记录送至安全管理中心。</w:t>
            </w:r>
          </w:p>
        </w:tc>
      </w:tr>
    </w:tbl>
    <w:p>
      <w:pPr>
        <w:pStyle w:val="18"/>
        <w:ind w:firstLine="482" w:firstLineChars="200"/>
        <w:jc w:val="both"/>
        <w:rPr>
          <w:rFonts w:hint="default"/>
        </w:rPr>
      </w:pPr>
      <w:r>
        <w:rPr>
          <w:rFonts w:ascii="宋体" w:hAnsi="宋体" w:cs="宋体"/>
          <w:b/>
          <w:sz w:val="24"/>
          <w:shd w:val="clear" w:color="auto" w:fill="FFFFFF"/>
        </w:rPr>
        <w:t>2.3.2.测评实施</w:t>
      </w:r>
    </w:p>
    <w:p>
      <w:pPr>
        <w:pStyle w:val="18"/>
        <w:ind w:firstLine="480"/>
        <w:jc w:val="both"/>
        <w:rPr>
          <w:rFonts w:hint="default"/>
        </w:rPr>
      </w:pPr>
      <w:r>
        <w:rPr>
          <w:rFonts w:ascii="宋体" w:hAnsi="宋体" w:cs="宋体"/>
          <w:sz w:val="24"/>
          <w:shd w:val="clear" w:color="auto" w:fill="FFFFFF"/>
        </w:rPr>
        <w:t>安全通信网络测评中，以安全配置核查、人工验证和网络监听与分析等方法为主，文档查阅与分析等方法为辅来获取必要证据，用于评测系统的安全保护能力。</w:t>
      </w:r>
    </w:p>
    <w:p>
      <w:pPr>
        <w:pStyle w:val="18"/>
        <w:ind w:firstLine="482" w:firstLineChars="200"/>
        <w:jc w:val="both"/>
        <w:outlineLvl w:val="5"/>
        <w:rPr>
          <w:rFonts w:hint="default"/>
        </w:rPr>
      </w:pPr>
      <w:r>
        <w:rPr>
          <w:rFonts w:ascii="宋体" w:hAnsi="宋体" w:cs="宋体"/>
          <w:b/>
          <w:sz w:val="24"/>
          <w:shd w:val="clear" w:color="auto" w:fill="FFFFFF"/>
        </w:rPr>
        <w:t>2.4.安全区域边界测评</w:t>
      </w:r>
    </w:p>
    <w:p>
      <w:pPr>
        <w:pStyle w:val="18"/>
        <w:ind w:firstLine="482" w:firstLineChars="200"/>
        <w:jc w:val="both"/>
        <w:rPr>
          <w:rFonts w:hint="default"/>
        </w:rPr>
      </w:pPr>
      <w:r>
        <w:rPr>
          <w:rFonts w:ascii="宋体" w:hAnsi="宋体" w:cs="宋体"/>
          <w:b/>
          <w:sz w:val="24"/>
          <w:shd w:val="clear" w:color="auto" w:fill="FFFFFF"/>
        </w:rPr>
        <w:t>2.4.1.测评指标</w:t>
      </w:r>
    </w:p>
    <w:p>
      <w:pPr>
        <w:pStyle w:val="18"/>
        <w:jc w:val="center"/>
        <w:rPr>
          <w:rFonts w:hint="default"/>
        </w:rPr>
      </w:pPr>
      <w:r>
        <w:rPr>
          <w:rFonts w:ascii="宋体" w:hAnsi="宋体" w:cs="宋体"/>
          <w:sz w:val="24"/>
          <w:shd w:val="clear" w:color="auto" w:fill="FFFFFF"/>
        </w:rPr>
        <w:t>安全区域边界（通用要求）测评指标</w:t>
      </w:r>
    </w:p>
    <w:tbl>
      <w:tblPr>
        <w:tblStyle w:val="17"/>
        <w:tblW w:w="96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11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shd w:val="clear" w:color="auto" w:fill="BFBFBF"/>
            <w:tcMar>
              <w:top w:w="90" w:type="dxa"/>
              <w:left w:w="90" w:type="dxa"/>
              <w:bottom w:w="90" w:type="dxa"/>
              <w:right w:w="90" w:type="dxa"/>
            </w:tcMar>
            <w:vAlign w:val="top"/>
          </w:tcPr>
          <w:p>
            <w:pPr>
              <w:pStyle w:val="18"/>
              <w:jc w:val="center"/>
              <w:rPr>
                <w:rFonts w:hint="default"/>
              </w:rPr>
            </w:pPr>
            <w:r>
              <w:rPr>
                <w:rFonts w:ascii="宋体" w:hAnsi="宋体" w:cs="宋体"/>
                <w:b/>
                <w:sz w:val="24"/>
              </w:rPr>
              <w:t>序号</w:t>
            </w:r>
          </w:p>
        </w:tc>
        <w:tc>
          <w:tcPr>
            <w:tcW w:w="1117" w:type="dxa"/>
            <w:shd w:val="clear" w:color="auto" w:fill="BFBFBF"/>
            <w:tcMar>
              <w:top w:w="90" w:type="dxa"/>
              <w:left w:w="90" w:type="dxa"/>
              <w:bottom w:w="90" w:type="dxa"/>
              <w:right w:w="90" w:type="dxa"/>
            </w:tcMar>
            <w:vAlign w:val="top"/>
          </w:tcPr>
          <w:p>
            <w:pPr>
              <w:pStyle w:val="18"/>
              <w:jc w:val="center"/>
              <w:rPr>
                <w:rFonts w:hint="default"/>
              </w:rPr>
            </w:pPr>
            <w:r>
              <w:rPr>
                <w:rFonts w:ascii="宋体" w:hAnsi="宋体" w:cs="宋体"/>
                <w:b/>
                <w:sz w:val="24"/>
              </w:rPr>
              <w:t>安全子类</w:t>
            </w:r>
          </w:p>
        </w:tc>
        <w:tc>
          <w:tcPr>
            <w:tcW w:w="8018" w:type="dxa"/>
            <w:shd w:val="clear" w:color="auto" w:fill="BFBFBF"/>
            <w:tcMar>
              <w:top w:w="90" w:type="dxa"/>
              <w:left w:w="90" w:type="dxa"/>
              <w:bottom w:w="90" w:type="dxa"/>
              <w:right w:w="90" w:type="dxa"/>
            </w:tcMar>
            <w:vAlign w:val="top"/>
          </w:tcPr>
          <w:p>
            <w:pPr>
              <w:pStyle w:val="18"/>
              <w:jc w:val="center"/>
              <w:rPr>
                <w:rFonts w:hint="default"/>
              </w:rPr>
            </w:pPr>
            <w:r>
              <w:rPr>
                <w:rFonts w:ascii="宋体" w:hAnsi="宋体" w:cs="宋体"/>
                <w:b/>
                <w:sz w:val="24"/>
              </w:rPr>
              <w:t>测评指标描述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Mar>
              <w:top w:w="90" w:type="dxa"/>
              <w:left w:w="90" w:type="dxa"/>
              <w:bottom w:w="90" w:type="dxa"/>
              <w:right w:w="90" w:type="dxa"/>
            </w:tcMar>
            <w:vAlign w:val="top"/>
          </w:tcPr>
          <w:p>
            <w:pPr>
              <w:pStyle w:val="18"/>
              <w:jc w:val="center"/>
              <w:rPr>
                <w:rFonts w:hint="default"/>
              </w:rPr>
            </w:pPr>
            <w:r>
              <w:rPr>
                <w:rFonts w:ascii="宋体" w:hAnsi="宋体" w:cs="宋体"/>
                <w:sz w:val="24"/>
              </w:rPr>
              <w:t>1</w:t>
            </w:r>
          </w:p>
        </w:tc>
        <w:tc>
          <w:tcPr>
            <w:tcW w:w="1117" w:type="dxa"/>
            <w:vMerge w:val="restart"/>
            <w:tcMar>
              <w:top w:w="90" w:type="dxa"/>
              <w:left w:w="90" w:type="dxa"/>
              <w:bottom w:w="90" w:type="dxa"/>
              <w:right w:w="90" w:type="dxa"/>
            </w:tcMar>
            <w:vAlign w:val="top"/>
          </w:tcPr>
          <w:p>
            <w:pPr>
              <w:pStyle w:val="18"/>
              <w:jc w:val="center"/>
              <w:rPr>
                <w:rFonts w:hint="default"/>
              </w:rPr>
            </w:pPr>
            <w:r>
              <w:rPr>
                <w:rFonts w:ascii="宋体" w:hAnsi="宋体" w:cs="宋体"/>
                <w:sz w:val="24"/>
              </w:rPr>
              <w:t>边界防护</w:t>
            </w:r>
          </w:p>
        </w:tc>
        <w:tc>
          <w:tcPr>
            <w:tcW w:w="8018" w:type="dxa"/>
            <w:tcMar>
              <w:top w:w="90" w:type="dxa"/>
              <w:left w:w="90" w:type="dxa"/>
              <w:bottom w:w="90" w:type="dxa"/>
              <w:right w:w="90" w:type="dxa"/>
            </w:tcMar>
            <w:vAlign w:val="top"/>
          </w:tcPr>
          <w:p>
            <w:pPr>
              <w:pStyle w:val="18"/>
              <w:rPr>
                <w:rFonts w:hint="default"/>
              </w:rPr>
            </w:pPr>
            <w:r>
              <w:rPr>
                <w:rFonts w:ascii="宋体" w:hAnsi="宋体" w:cs="宋体"/>
                <w:sz w:val="24"/>
              </w:rPr>
              <w:t>a）应保证跨越边界的访问和数据流通过边界设备提供的受控接口进行通信；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Mar>
              <w:top w:w="90" w:type="dxa"/>
              <w:left w:w="90" w:type="dxa"/>
              <w:bottom w:w="90" w:type="dxa"/>
              <w:right w:w="90" w:type="dxa"/>
            </w:tcMar>
            <w:vAlign w:val="top"/>
          </w:tcPr>
          <w:p>
            <w:pPr>
              <w:pStyle w:val="18"/>
              <w:jc w:val="center"/>
              <w:rPr>
                <w:rFonts w:hint="default"/>
              </w:rPr>
            </w:pPr>
            <w:r>
              <w:rPr>
                <w:rFonts w:ascii="宋体" w:hAnsi="宋体" w:cs="宋体"/>
                <w:sz w:val="24"/>
              </w:rPr>
              <w:t>2</w:t>
            </w:r>
          </w:p>
        </w:tc>
        <w:tc>
          <w:tcPr>
            <w:tcW w:w="1117" w:type="dxa"/>
            <w:vMerge w:val="continue"/>
            <w:vAlign w:val="top"/>
          </w:tcPr>
          <w:p/>
        </w:tc>
        <w:tc>
          <w:tcPr>
            <w:tcW w:w="8018" w:type="dxa"/>
            <w:tcMar>
              <w:top w:w="90" w:type="dxa"/>
              <w:left w:w="90" w:type="dxa"/>
              <w:bottom w:w="90" w:type="dxa"/>
              <w:right w:w="90" w:type="dxa"/>
            </w:tcMar>
            <w:vAlign w:val="top"/>
          </w:tcPr>
          <w:p>
            <w:pPr>
              <w:pStyle w:val="18"/>
              <w:rPr>
                <w:rFonts w:hint="default"/>
              </w:rPr>
            </w:pPr>
            <w:r>
              <w:rPr>
                <w:rFonts w:ascii="宋体" w:hAnsi="宋体" w:cs="宋体"/>
                <w:sz w:val="24"/>
              </w:rPr>
              <w:t>b）应能够对非授权设备私自联到内部网络的行为进行检查或限制；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Mar>
              <w:top w:w="90" w:type="dxa"/>
              <w:left w:w="90" w:type="dxa"/>
              <w:bottom w:w="90" w:type="dxa"/>
              <w:right w:w="90" w:type="dxa"/>
            </w:tcMar>
            <w:vAlign w:val="top"/>
          </w:tcPr>
          <w:p>
            <w:pPr>
              <w:pStyle w:val="18"/>
              <w:jc w:val="center"/>
              <w:rPr>
                <w:rFonts w:hint="default"/>
              </w:rPr>
            </w:pPr>
            <w:r>
              <w:rPr>
                <w:rFonts w:ascii="宋体" w:hAnsi="宋体" w:cs="宋体"/>
                <w:sz w:val="24"/>
              </w:rPr>
              <w:t>3</w:t>
            </w:r>
          </w:p>
        </w:tc>
        <w:tc>
          <w:tcPr>
            <w:tcW w:w="1117" w:type="dxa"/>
            <w:vMerge w:val="continue"/>
            <w:vAlign w:val="top"/>
          </w:tcPr>
          <w:p/>
        </w:tc>
        <w:tc>
          <w:tcPr>
            <w:tcW w:w="8018" w:type="dxa"/>
            <w:tcMar>
              <w:top w:w="90" w:type="dxa"/>
              <w:left w:w="90" w:type="dxa"/>
              <w:bottom w:w="90" w:type="dxa"/>
              <w:right w:w="90" w:type="dxa"/>
            </w:tcMar>
            <w:vAlign w:val="top"/>
          </w:tcPr>
          <w:p>
            <w:pPr>
              <w:pStyle w:val="18"/>
              <w:rPr>
                <w:rFonts w:hint="default"/>
              </w:rPr>
            </w:pPr>
            <w:r>
              <w:rPr>
                <w:rFonts w:ascii="宋体" w:hAnsi="宋体" w:cs="宋体"/>
                <w:sz w:val="24"/>
              </w:rPr>
              <w:t>c）应能够对内部用户非授权联到外部网络的行为进行检查或限制；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Mar>
              <w:top w:w="90" w:type="dxa"/>
              <w:left w:w="90" w:type="dxa"/>
              <w:bottom w:w="90" w:type="dxa"/>
              <w:right w:w="90" w:type="dxa"/>
            </w:tcMar>
            <w:vAlign w:val="top"/>
          </w:tcPr>
          <w:p>
            <w:pPr>
              <w:pStyle w:val="18"/>
              <w:jc w:val="center"/>
              <w:rPr>
                <w:rFonts w:hint="default"/>
              </w:rPr>
            </w:pPr>
            <w:r>
              <w:rPr>
                <w:rFonts w:ascii="宋体" w:hAnsi="宋体" w:cs="宋体"/>
                <w:sz w:val="24"/>
              </w:rPr>
              <w:t>4</w:t>
            </w:r>
          </w:p>
        </w:tc>
        <w:tc>
          <w:tcPr>
            <w:tcW w:w="1117" w:type="dxa"/>
            <w:vMerge w:val="continue"/>
            <w:vAlign w:val="top"/>
          </w:tcPr>
          <w:p/>
        </w:tc>
        <w:tc>
          <w:tcPr>
            <w:tcW w:w="8018" w:type="dxa"/>
            <w:tcMar>
              <w:top w:w="90" w:type="dxa"/>
              <w:left w:w="90" w:type="dxa"/>
              <w:bottom w:w="90" w:type="dxa"/>
              <w:right w:w="90" w:type="dxa"/>
            </w:tcMar>
            <w:vAlign w:val="top"/>
          </w:tcPr>
          <w:p>
            <w:pPr>
              <w:pStyle w:val="18"/>
              <w:rPr>
                <w:rFonts w:hint="default"/>
              </w:rPr>
            </w:pPr>
            <w:r>
              <w:rPr>
                <w:rFonts w:ascii="宋体" w:hAnsi="宋体" w:cs="宋体"/>
                <w:sz w:val="24"/>
              </w:rPr>
              <w:t>d）应限制无线网络的使用，保证无线网络通过受控的边界设备接入内部网络。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Mar>
              <w:top w:w="90" w:type="dxa"/>
              <w:left w:w="90" w:type="dxa"/>
              <w:bottom w:w="90" w:type="dxa"/>
              <w:right w:w="90" w:type="dxa"/>
            </w:tcMar>
            <w:vAlign w:val="top"/>
          </w:tcPr>
          <w:p>
            <w:pPr>
              <w:pStyle w:val="18"/>
              <w:jc w:val="center"/>
              <w:rPr>
                <w:rFonts w:hint="default"/>
              </w:rPr>
            </w:pPr>
            <w:r>
              <w:rPr>
                <w:rFonts w:ascii="宋体" w:hAnsi="宋体" w:cs="宋体"/>
                <w:sz w:val="24"/>
              </w:rPr>
              <w:t>5</w:t>
            </w:r>
          </w:p>
        </w:tc>
        <w:tc>
          <w:tcPr>
            <w:tcW w:w="1117" w:type="dxa"/>
            <w:vMerge w:val="restart"/>
            <w:tcMar>
              <w:top w:w="90" w:type="dxa"/>
              <w:left w:w="90" w:type="dxa"/>
              <w:bottom w:w="90" w:type="dxa"/>
              <w:right w:w="90" w:type="dxa"/>
            </w:tcMar>
            <w:vAlign w:val="top"/>
          </w:tcPr>
          <w:p>
            <w:pPr>
              <w:pStyle w:val="18"/>
              <w:jc w:val="center"/>
              <w:rPr>
                <w:rFonts w:hint="default"/>
              </w:rPr>
            </w:pPr>
            <w:r>
              <w:rPr>
                <w:rFonts w:ascii="宋体" w:hAnsi="宋体" w:cs="宋体"/>
                <w:sz w:val="24"/>
              </w:rPr>
              <w:t>访问控制</w:t>
            </w:r>
          </w:p>
        </w:tc>
        <w:tc>
          <w:tcPr>
            <w:tcW w:w="8018" w:type="dxa"/>
            <w:tcMar>
              <w:top w:w="90" w:type="dxa"/>
              <w:left w:w="90" w:type="dxa"/>
              <w:bottom w:w="90" w:type="dxa"/>
              <w:right w:w="90" w:type="dxa"/>
            </w:tcMar>
            <w:vAlign w:val="top"/>
          </w:tcPr>
          <w:p>
            <w:pPr>
              <w:pStyle w:val="18"/>
              <w:rPr>
                <w:rFonts w:hint="default"/>
              </w:rPr>
            </w:pPr>
            <w:r>
              <w:rPr>
                <w:rFonts w:ascii="宋体" w:hAnsi="宋体" w:cs="宋体"/>
                <w:sz w:val="24"/>
              </w:rPr>
              <w:t>a）应在网络边界或区域之间根据访问控制策略设置访问控制规则，默认情况下除允许通信外受控接口拒绝所有通信；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Mar>
              <w:top w:w="90" w:type="dxa"/>
              <w:left w:w="90" w:type="dxa"/>
              <w:bottom w:w="90" w:type="dxa"/>
              <w:right w:w="90" w:type="dxa"/>
            </w:tcMar>
            <w:vAlign w:val="top"/>
          </w:tcPr>
          <w:p>
            <w:pPr>
              <w:pStyle w:val="18"/>
              <w:jc w:val="center"/>
              <w:rPr>
                <w:rFonts w:hint="default"/>
              </w:rPr>
            </w:pPr>
            <w:r>
              <w:rPr>
                <w:rFonts w:ascii="宋体" w:hAnsi="宋体" w:cs="宋体"/>
                <w:sz w:val="24"/>
              </w:rPr>
              <w:t>6</w:t>
            </w:r>
          </w:p>
        </w:tc>
        <w:tc>
          <w:tcPr>
            <w:tcW w:w="1117" w:type="dxa"/>
            <w:vMerge w:val="continue"/>
            <w:vAlign w:val="top"/>
          </w:tcPr>
          <w:p/>
        </w:tc>
        <w:tc>
          <w:tcPr>
            <w:tcW w:w="8018" w:type="dxa"/>
            <w:tcMar>
              <w:top w:w="90" w:type="dxa"/>
              <w:left w:w="90" w:type="dxa"/>
              <w:bottom w:w="90" w:type="dxa"/>
              <w:right w:w="90" w:type="dxa"/>
            </w:tcMar>
            <w:vAlign w:val="top"/>
          </w:tcPr>
          <w:p>
            <w:pPr>
              <w:pStyle w:val="18"/>
              <w:rPr>
                <w:rFonts w:hint="default"/>
              </w:rPr>
            </w:pPr>
            <w:r>
              <w:rPr>
                <w:rFonts w:ascii="宋体" w:hAnsi="宋体" w:cs="宋体"/>
                <w:sz w:val="24"/>
              </w:rPr>
              <w:t>b）应删除多余或无效的访问控制规则，优化访问控制列表，并保证访问控制规则数量最小化；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Mar>
              <w:top w:w="90" w:type="dxa"/>
              <w:left w:w="90" w:type="dxa"/>
              <w:bottom w:w="90" w:type="dxa"/>
              <w:right w:w="90" w:type="dxa"/>
            </w:tcMar>
            <w:vAlign w:val="top"/>
          </w:tcPr>
          <w:p>
            <w:pPr>
              <w:pStyle w:val="18"/>
              <w:jc w:val="center"/>
              <w:rPr>
                <w:rFonts w:hint="default"/>
              </w:rPr>
            </w:pPr>
            <w:r>
              <w:rPr>
                <w:rFonts w:ascii="宋体" w:hAnsi="宋体" w:cs="宋体"/>
                <w:sz w:val="24"/>
              </w:rPr>
              <w:t>7</w:t>
            </w:r>
          </w:p>
        </w:tc>
        <w:tc>
          <w:tcPr>
            <w:tcW w:w="1117" w:type="dxa"/>
            <w:vMerge w:val="continue"/>
            <w:vAlign w:val="top"/>
          </w:tcPr>
          <w:p/>
        </w:tc>
        <w:tc>
          <w:tcPr>
            <w:tcW w:w="8018" w:type="dxa"/>
            <w:tcMar>
              <w:top w:w="90" w:type="dxa"/>
              <w:left w:w="90" w:type="dxa"/>
              <w:bottom w:w="90" w:type="dxa"/>
              <w:right w:w="90" w:type="dxa"/>
            </w:tcMar>
            <w:vAlign w:val="top"/>
          </w:tcPr>
          <w:p>
            <w:pPr>
              <w:pStyle w:val="18"/>
              <w:rPr>
                <w:rFonts w:hint="default"/>
              </w:rPr>
            </w:pPr>
            <w:r>
              <w:rPr>
                <w:rFonts w:ascii="宋体" w:hAnsi="宋体" w:cs="宋体"/>
                <w:sz w:val="24"/>
              </w:rPr>
              <w:t>c）应对源地址、目的地址、源端口、目的端口和协议等进行检查，以允许/拒绝数据包进出；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Mar>
              <w:top w:w="90" w:type="dxa"/>
              <w:left w:w="90" w:type="dxa"/>
              <w:bottom w:w="90" w:type="dxa"/>
              <w:right w:w="90" w:type="dxa"/>
            </w:tcMar>
            <w:vAlign w:val="top"/>
          </w:tcPr>
          <w:p>
            <w:pPr>
              <w:pStyle w:val="18"/>
              <w:jc w:val="center"/>
              <w:rPr>
                <w:rFonts w:hint="default"/>
              </w:rPr>
            </w:pPr>
            <w:r>
              <w:rPr>
                <w:rFonts w:ascii="宋体" w:hAnsi="宋体" w:cs="宋体"/>
                <w:sz w:val="24"/>
              </w:rPr>
              <w:t>8</w:t>
            </w:r>
          </w:p>
        </w:tc>
        <w:tc>
          <w:tcPr>
            <w:tcW w:w="1117" w:type="dxa"/>
            <w:vMerge w:val="continue"/>
            <w:vAlign w:val="top"/>
          </w:tcPr>
          <w:p/>
        </w:tc>
        <w:tc>
          <w:tcPr>
            <w:tcW w:w="8018" w:type="dxa"/>
            <w:tcMar>
              <w:top w:w="90" w:type="dxa"/>
              <w:left w:w="90" w:type="dxa"/>
              <w:bottom w:w="90" w:type="dxa"/>
              <w:right w:w="90" w:type="dxa"/>
            </w:tcMar>
            <w:vAlign w:val="top"/>
          </w:tcPr>
          <w:p>
            <w:pPr>
              <w:pStyle w:val="18"/>
              <w:rPr>
                <w:rFonts w:hint="default"/>
              </w:rPr>
            </w:pPr>
            <w:r>
              <w:rPr>
                <w:rFonts w:ascii="宋体" w:hAnsi="宋体" w:cs="宋体"/>
                <w:sz w:val="24"/>
              </w:rPr>
              <w:t>d）应能根据会话状态信息为进出数据流提供明确的允许/拒绝访问的能力；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Mar>
              <w:top w:w="90" w:type="dxa"/>
              <w:left w:w="90" w:type="dxa"/>
              <w:bottom w:w="90" w:type="dxa"/>
              <w:right w:w="90" w:type="dxa"/>
            </w:tcMar>
            <w:vAlign w:val="top"/>
          </w:tcPr>
          <w:p>
            <w:pPr>
              <w:pStyle w:val="18"/>
              <w:jc w:val="center"/>
              <w:rPr>
                <w:rFonts w:hint="default"/>
              </w:rPr>
            </w:pPr>
            <w:r>
              <w:rPr>
                <w:rFonts w:ascii="宋体" w:hAnsi="宋体" w:cs="宋体"/>
                <w:sz w:val="24"/>
              </w:rPr>
              <w:t>9</w:t>
            </w:r>
          </w:p>
        </w:tc>
        <w:tc>
          <w:tcPr>
            <w:tcW w:w="1117" w:type="dxa"/>
            <w:vMerge w:val="continue"/>
            <w:vAlign w:val="top"/>
          </w:tcPr>
          <w:p/>
        </w:tc>
        <w:tc>
          <w:tcPr>
            <w:tcW w:w="8018" w:type="dxa"/>
            <w:tcMar>
              <w:top w:w="90" w:type="dxa"/>
              <w:left w:w="90" w:type="dxa"/>
              <w:bottom w:w="90" w:type="dxa"/>
              <w:right w:w="90" w:type="dxa"/>
            </w:tcMar>
            <w:vAlign w:val="top"/>
          </w:tcPr>
          <w:p>
            <w:pPr>
              <w:pStyle w:val="18"/>
              <w:rPr>
                <w:rFonts w:hint="default"/>
              </w:rPr>
            </w:pPr>
            <w:r>
              <w:rPr>
                <w:rFonts w:ascii="宋体" w:hAnsi="宋体" w:cs="宋体"/>
                <w:sz w:val="24"/>
              </w:rPr>
              <w:t>e）应对进出网络的数据流实现基于应用协议和应用内容的访问控制。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Mar>
              <w:top w:w="90" w:type="dxa"/>
              <w:left w:w="90" w:type="dxa"/>
              <w:bottom w:w="90" w:type="dxa"/>
              <w:right w:w="90" w:type="dxa"/>
            </w:tcMar>
            <w:vAlign w:val="top"/>
          </w:tcPr>
          <w:p>
            <w:pPr>
              <w:pStyle w:val="18"/>
              <w:jc w:val="center"/>
              <w:rPr>
                <w:rFonts w:hint="default"/>
              </w:rPr>
            </w:pPr>
            <w:r>
              <w:rPr>
                <w:rFonts w:ascii="宋体" w:hAnsi="宋体" w:cs="宋体"/>
                <w:sz w:val="24"/>
              </w:rPr>
              <w:t>10</w:t>
            </w:r>
          </w:p>
        </w:tc>
        <w:tc>
          <w:tcPr>
            <w:tcW w:w="1117" w:type="dxa"/>
            <w:vMerge w:val="restart"/>
            <w:tcMar>
              <w:top w:w="90" w:type="dxa"/>
              <w:left w:w="90" w:type="dxa"/>
              <w:bottom w:w="90" w:type="dxa"/>
              <w:right w:w="90" w:type="dxa"/>
            </w:tcMar>
            <w:vAlign w:val="top"/>
          </w:tcPr>
          <w:p>
            <w:pPr>
              <w:pStyle w:val="18"/>
              <w:jc w:val="center"/>
              <w:rPr>
                <w:rFonts w:hint="default"/>
              </w:rPr>
            </w:pPr>
            <w:r>
              <w:rPr>
                <w:rFonts w:ascii="宋体" w:hAnsi="宋体" w:cs="宋体"/>
                <w:sz w:val="24"/>
              </w:rPr>
              <w:t>入侵防范</w:t>
            </w:r>
          </w:p>
        </w:tc>
        <w:tc>
          <w:tcPr>
            <w:tcW w:w="8018" w:type="dxa"/>
            <w:tcMar>
              <w:top w:w="90" w:type="dxa"/>
              <w:left w:w="90" w:type="dxa"/>
              <w:bottom w:w="90" w:type="dxa"/>
              <w:right w:w="90" w:type="dxa"/>
            </w:tcMar>
            <w:vAlign w:val="top"/>
          </w:tcPr>
          <w:p>
            <w:pPr>
              <w:pStyle w:val="18"/>
              <w:rPr>
                <w:rFonts w:hint="default"/>
              </w:rPr>
            </w:pPr>
            <w:r>
              <w:rPr>
                <w:rFonts w:ascii="宋体" w:hAnsi="宋体" w:cs="宋体"/>
                <w:sz w:val="24"/>
              </w:rPr>
              <w:t>a）应在关键网络节点处检测、防止或限制从外部发起的网络攻击行为；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Mar>
              <w:top w:w="90" w:type="dxa"/>
              <w:left w:w="90" w:type="dxa"/>
              <w:bottom w:w="90" w:type="dxa"/>
              <w:right w:w="90" w:type="dxa"/>
            </w:tcMar>
            <w:vAlign w:val="top"/>
          </w:tcPr>
          <w:p>
            <w:pPr>
              <w:pStyle w:val="18"/>
              <w:jc w:val="center"/>
              <w:rPr>
                <w:rFonts w:hint="default"/>
              </w:rPr>
            </w:pPr>
            <w:r>
              <w:rPr>
                <w:rFonts w:ascii="宋体" w:hAnsi="宋体" w:cs="宋体"/>
                <w:sz w:val="24"/>
              </w:rPr>
              <w:t>11</w:t>
            </w:r>
          </w:p>
        </w:tc>
        <w:tc>
          <w:tcPr>
            <w:tcW w:w="1117" w:type="dxa"/>
            <w:vMerge w:val="continue"/>
            <w:vAlign w:val="top"/>
          </w:tcPr>
          <w:p/>
        </w:tc>
        <w:tc>
          <w:tcPr>
            <w:tcW w:w="8018" w:type="dxa"/>
            <w:tcMar>
              <w:top w:w="90" w:type="dxa"/>
              <w:left w:w="90" w:type="dxa"/>
              <w:bottom w:w="90" w:type="dxa"/>
              <w:right w:w="90" w:type="dxa"/>
            </w:tcMar>
            <w:vAlign w:val="top"/>
          </w:tcPr>
          <w:p>
            <w:pPr>
              <w:pStyle w:val="18"/>
              <w:rPr>
                <w:rFonts w:hint="default"/>
              </w:rPr>
            </w:pPr>
            <w:r>
              <w:rPr>
                <w:rFonts w:ascii="宋体" w:hAnsi="宋体" w:cs="宋体"/>
                <w:sz w:val="24"/>
              </w:rPr>
              <w:t>b）应在关键网络节点处检测、防止或限制从内部发起的网络攻击行为；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Mar>
              <w:top w:w="90" w:type="dxa"/>
              <w:left w:w="90" w:type="dxa"/>
              <w:bottom w:w="90" w:type="dxa"/>
              <w:right w:w="90" w:type="dxa"/>
            </w:tcMar>
            <w:vAlign w:val="top"/>
          </w:tcPr>
          <w:p>
            <w:pPr>
              <w:pStyle w:val="18"/>
              <w:jc w:val="center"/>
              <w:rPr>
                <w:rFonts w:hint="default"/>
              </w:rPr>
            </w:pPr>
            <w:r>
              <w:rPr>
                <w:rFonts w:ascii="宋体" w:hAnsi="宋体" w:cs="宋体"/>
                <w:sz w:val="24"/>
              </w:rPr>
              <w:t>12</w:t>
            </w:r>
          </w:p>
        </w:tc>
        <w:tc>
          <w:tcPr>
            <w:tcW w:w="1117" w:type="dxa"/>
            <w:vMerge w:val="continue"/>
            <w:vAlign w:val="top"/>
          </w:tcPr>
          <w:p/>
        </w:tc>
        <w:tc>
          <w:tcPr>
            <w:tcW w:w="8018" w:type="dxa"/>
            <w:tcMar>
              <w:top w:w="90" w:type="dxa"/>
              <w:left w:w="90" w:type="dxa"/>
              <w:bottom w:w="90" w:type="dxa"/>
              <w:right w:w="90" w:type="dxa"/>
            </w:tcMar>
            <w:vAlign w:val="top"/>
          </w:tcPr>
          <w:p>
            <w:pPr>
              <w:pStyle w:val="18"/>
              <w:rPr>
                <w:rFonts w:hint="default"/>
              </w:rPr>
            </w:pPr>
            <w:r>
              <w:rPr>
                <w:rFonts w:ascii="宋体" w:hAnsi="宋体" w:cs="宋体"/>
                <w:sz w:val="24"/>
              </w:rPr>
              <w:t>c）应采取技术措施对网络行为进行分析，实现对网络攻击特别是新型网络攻击行为的分析；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Mar>
              <w:top w:w="90" w:type="dxa"/>
              <w:left w:w="90" w:type="dxa"/>
              <w:bottom w:w="90" w:type="dxa"/>
              <w:right w:w="90" w:type="dxa"/>
            </w:tcMar>
            <w:vAlign w:val="top"/>
          </w:tcPr>
          <w:p>
            <w:pPr>
              <w:pStyle w:val="18"/>
              <w:jc w:val="center"/>
              <w:rPr>
                <w:rFonts w:hint="default"/>
              </w:rPr>
            </w:pPr>
            <w:r>
              <w:rPr>
                <w:rFonts w:ascii="宋体" w:hAnsi="宋体" w:cs="宋体"/>
                <w:sz w:val="24"/>
              </w:rPr>
              <w:t>13</w:t>
            </w:r>
          </w:p>
        </w:tc>
        <w:tc>
          <w:tcPr>
            <w:tcW w:w="1117" w:type="dxa"/>
            <w:vMerge w:val="continue"/>
            <w:vAlign w:val="top"/>
          </w:tcPr>
          <w:p/>
        </w:tc>
        <w:tc>
          <w:tcPr>
            <w:tcW w:w="8018" w:type="dxa"/>
            <w:tcMar>
              <w:top w:w="90" w:type="dxa"/>
              <w:left w:w="90" w:type="dxa"/>
              <w:bottom w:w="90" w:type="dxa"/>
              <w:right w:w="90" w:type="dxa"/>
            </w:tcMar>
            <w:vAlign w:val="top"/>
          </w:tcPr>
          <w:p>
            <w:pPr>
              <w:pStyle w:val="18"/>
              <w:rPr>
                <w:rFonts w:hint="default"/>
              </w:rPr>
            </w:pPr>
            <w:r>
              <w:rPr>
                <w:rFonts w:ascii="宋体" w:hAnsi="宋体" w:cs="宋体"/>
                <w:sz w:val="24"/>
              </w:rPr>
              <w:t>d）当检测到攻击行为时，记录攻击源IP、攻击类型、攻击目标、攻击时间，在发生严重入侵事件时应提供报警。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Mar>
              <w:top w:w="90" w:type="dxa"/>
              <w:left w:w="90" w:type="dxa"/>
              <w:bottom w:w="90" w:type="dxa"/>
              <w:right w:w="90" w:type="dxa"/>
            </w:tcMar>
            <w:vAlign w:val="top"/>
          </w:tcPr>
          <w:p>
            <w:pPr>
              <w:pStyle w:val="18"/>
              <w:jc w:val="center"/>
              <w:rPr>
                <w:rFonts w:hint="default"/>
              </w:rPr>
            </w:pPr>
            <w:r>
              <w:rPr>
                <w:rFonts w:ascii="宋体" w:hAnsi="宋体" w:cs="宋体"/>
                <w:sz w:val="24"/>
              </w:rPr>
              <w:t>14</w:t>
            </w:r>
          </w:p>
        </w:tc>
        <w:tc>
          <w:tcPr>
            <w:tcW w:w="1117" w:type="dxa"/>
            <w:vMerge w:val="restart"/>
            <w:tcMar>
              <w:top w:w="90" w:type="dxa"/>
              <w:left w:w="90" w:type="dxa"/>
              <w:bottom w:w="90" w:type="dxa"/>
              <w:right w:w="90" w:type="dxa"/>
            </w:tcMar>
            <w:vAlign w:val="top"/>
          </w:tcPr>
          <w:p>
            <w:pPr>
              <w:pStyle w:val="18"/>
              <w:jc w:val="center"/>
              <w:rPr>
                <w:rFonts w:hint="default"/>
              </w:rPr>
            </w:pPr>
            <w:r>
              <w:rPr>
                <w:rFonts w:ascii="宋体" w:hAnsi="宋体" w:cs="宋体"/>
                <w:sz w:val="24"/>
              </w:rPr>
              <w:t>恶意代码和垃圾邮件防范</w:t>
            </w:r>
          </w:p>
        </w:tc>
        <w:tc>
          <w:tcPr>
            <w:tcW w:w="8018" w:type="dxa"/>
            <w:tcMar>
              <w:top w:w="90" w:type="dxa"/>
              <w:left w:w="90" w:type="dxa"/>
              <w:bottom w:w="90" w:type="dxa"/>
              <w:right w:w="90" w:type="dxa"/>
            </w:tcMar>
            <w:vAlign w:val="top"/>
          </w:tcPr>
          <w:p>
            <w:pPr>
              <w:pStyle w:val="18"/>
              <w:rPr>
                <w:rFonts w:hint="default"/>
              </w:rPr>
            </w:pPr>
            <w:r>
              <w:rPr>
                <w:rFonts w:ascii="宋体" w:hAnsi="宋体" w:cs="宋体"/>
                <w:sz w:val="24"/>
              </w:rPr>
              <w:t>a）应在关键网络节点处对恶意代码进行检测和清除，并维护恶意代码防护机制的升级和更新；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Mar>
              <w:top w:w="90" w:type="dxa"/>
              <w:left w:w="90" w:type="dxa"/>
              <w:bottom w:w="90" w:type="dxa"/>
              <w:right w:w="90" w:type="dxa"/>
            </w:tcMar>
            <w:vAlign w:val="top"/>
          </w:tcPr>
          <w:p>
            <w:pPr>
              <w:pStyle w:val="18"/>
              <w:jc w:val="center"/>
              <w:rPr>
                <w:rFonts w:hint="default"/>
              </w:rPr>
            </w:pPr>
            <w:r>
              <w:rPr>
                <w:rFonts w:ascii="宋体" w:hAnsi="宋体" w:cs="宋体"/>
                <w:sz w:val="24"/>
              </w:rPr>
              <w:t>15</w:t>
            </w:r>
          </w:p>
        </w:tc>
        <w:tc>
          <w:tcPr>
            <w:tcW w:w="1117" w:type="dxa"/>
            <w:vMerge w:val="continue"/>
            <w:vAlign w:val="top"/>
          </w:tcPr>
          <w:p/>
        </w:tc>
        <w:tc>
          <w:tcPr>
            <w:tcW w:w="8018" w:type="dxa"/>
            <w:tcMar>
              <w:top w:w="90" w:type="dxa"/>
              <w:left w:w="90" w:type="dxa"/>
              <w:bottom w:w="90" w:type="dxa"/>
              <w:right w:w="90" w:type="dxa"/>
            </w:tcMar>
            <w:vAlign w:val="top"/>
          </w:tcPr>
          <w:p>
            <w:pPr>
              <w:pStyle w:val="18"/>
              <w:rPr>
                <w:rFonts w:hint="default"/>
              </w:rPr>
            </w:pPr>
            <w:r>
              <w:rPr>
                <w:rFonts w:ascii="宋体" w:hAnsi="宋体" w:cs="宋体"/>
                <w:sz w:val="24"/>
              </w:rPr>
              <w:t>b）应在关键网络节点处对垃圾邮件进行检测和防护，并维护垃圾邮件防护机制的升级和更新。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Mar>
              <w:top w:w="90" w:type="dxa"/>
              <w:left w:w="90" w:type="dxa"/>
              <w:bottom w:w="90" w:type="dxa"/>
              <w:right w:w="90" w:type="dxa"/>
            </w:tcMar>
            <w:vAlign w:val="top"/>
          </w:tcPr>
          <w:p>
            <w:pPr>
              <w:pStyle w:val="18"/>
              <w:jc w:val="center"/>
              <w:rPr>
                <w:rFonts w:hint="default"/>
              </w:rPr>
            </w:pPr>
            <w:r>
              <w:rPr>
                <w:rFonts w:ascii="宋体" w:hAnsi="宋体" w:cs="宋体"/>
                <w:sz w:val="24"/>
              </w:rPr>
              <w:t>16</w:t>
            </w:r>
          </w:p>
        </w:tc>
        <w:tc>
          <w:tcPr>
            <w:tcW w:w="1117" w:type="dxa"/>
            <w:vMerge w:val="restart"/>
            <w:tcMar>
              <w:top w:w="90" w:type="dxa"/>
              <w:left w:w="90" w:type="dxa"/>
              <w:bottom w:w="90" w:type="dxa"/>
              <w:right w:w="90" w:type="dxa"/>
            </w:tcMar>
            <w:vAlign w:val="top"/>
          </w:tcPr>
          <w:p>
            <w:pPr>
              <w:pStyle w:val="18"/>
              <w:jc w:val="center"/>
              <w:rPr>
                <w:rFonts w:hint="default"/>
              </w:rPr>
            </w:pPr>
            <w:r>
              <w:rPr>
                <w:rFonts w:ascii="宋体" w:hAnsi="宋体" w:cs="宋体"/>
                <w:sz w:val="24"/>
              </w:rPr>
              <w:t>安全审计</w:t>
            </w:r>
          </w:p>
        </w:tc>
        <w:tc>
          <w:tcPr>
            <w:tcW w:w="8018" w:type="dxa"/>
            <w:tcMar>
              <w:top w:w="90" w:type="dxa"/>
              <w:left w:w="90" w:type="dxa"/>
              <w:bottom w:w="90" w:type="dxa"/>
              <w:right w:w="90" w:type="dxa"/>
            </w:tcMar>
            <w:vAlign w:val="top"/>
          </w:tcPr>
          <w:p>
            <w:pPr>
              <w:pStyle w:val="18"/>
              <w:rPr>
                <w:rFonts w:hint="default"/>
              </w:rPr>
            </w:pPr>
            <w:r>
              <w:rPr>
                <w:rFonts w:ascii="宋体" w:hAnsi="宋体" w:cs="宋体"/>
                <w:sz w:val="24"/>
              </w:rPr>
              <w:t>a）应在网络边界、重要网络节点进行安全审计，审计覆盖到每个用户，对重要的用户行为和重要安全事件进行审计；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Mar>
              <w:top w:w="90" w:type="dxa"/>
              <w:left w:w="90" w:type="dxa"/>
              <w:bottom w:w="90" w:type="dxa"/>
              <w:right w:w="90" w:type="dxa"/>
            </w:tcMar>
            <w:vAlign w:val="top"/>
          </w:tcPr>
          <w:p>
            <w:pPr>
              <w:pStyle w:val="18"/>
              <w:jc w:val="center"/>
              <w:rPr>
                <w:rFonts w:hint="default"/>
              </w:rPr>
            </w:pPr>
            <w:r>
              <w:rPr>
                <w:rFonts w:ascii="宋体" w:hAnsi="宋体" w:cs="宋体"/>
                <w:sz w:val="24"/>
              </w:rPr>
              <w:t>17</w:t>
            </w:r>
          </w:p>
        </w:tc>
        <w:tc>
          <w:tcPr>
            <w:tcW w:w="1117" w:type="dxa"/>
            <w:vMerge w:val="continue"/>
            <w:vAlign w:val="top"/>
          </w:tcPr>
          <w:p/>
        </w:tc>
        <w:tc>
          <w:tcPr>
            <w:tcW w:w="8018" w:type="dxa"/>
            <w:tcMar>
              <w:top w:w="90" w:type="dxa"/>
              <w:left w:w="90" w:type="dxa"/>
              <w:bottom w:w="90" w:type="dxa"/>
              <w:right w:w="90" w:type="dxa"/>
            </w:tcMar>
            <w:vAlign w:val="top"/>
          </w:tcPr>
          <w:p>
            <w:pPr>
              <w:pStyle w:val="18"/>
              <w:rPr>
                <w:rFonts w:hint="default"/>
              </w:rPr>
            </w:pPr>
            <w:r>
              <w:rPr>
                <w:rFonts w:ascii="宋体" w:hAnsi="宋体" w:cs="宋体"/>
                <w:sz w:val="24"/>
              </w:rPr>
              <w:t>b）审计记录应包括事件的日期和时间、用户、事件类型、事件是否成功及其他与审计相关的信息；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Mar>
              <w:top w:w="90" w:type="dxa"/>
              <w:left w:w="90" w:type="dxa"/>
              <w:bottom w:w="90" w:type="dxa"/>
              <w:right w:w="90" w:type="dxa"/>
            </w:tcMar>
            <w:vAlign w:val="top"/>
          </w:tcPr>
          <w:p>
            <w:pPr>
              <w:pStyle w:val="18"/>
              <w:jc w:val="center"/>
              <w:rPr>
                <w:rFonts w:hint="default"/>
              </w:rPr>
            </w:pPr>
            <w:r>
              <w:rPr>
                <w:rFonts w:ascii="宋体" w:hAnsi="宋体" w:cs="宋体"/>
                <w:sz w:val="24"/>
              </w:rPr>
              <w:t>18</w:t>
            </w:r>
          </w:p>
        </w:tc>
        <w:tc>
          <w:tcPr>
            <w:tcW w:w="1117" w:type="dxa"/>
            <w:vMerge w:val="continue"/>
            <w:vAlign w:val="top"/>
          </w:tcPr>
          <w:p/>
        </w:tc>
        <w:tc>
          <w:tcPr>
            <w:tcW w:w="8018" w:type="dxa"/>
            <w:tcMar>
              <w:top w:w="90" w:type="dxa"/>
              <w:left w:w="90" w:type="dxa"/>
              <w:bottom w:w="90" w:type="dxa"/>
              <w:right w:w="90" w:type="dxa"/>
            </w:tcMar>
            <w:vAlign w:val="top"/>
          </w:tcPr>
          <w:p>
            <w:pPr>
              <w:pStyle w:val="18"/>
              <w:rPr>
                <w:rFonts w:hint="default"/>
              </w:rPr>
            </w:pPr>
            <w:r>
              <w:rPr>
                <w:rFonts w:ascii="宋体" w:hAnsi="宋体" w:cs="宋体"/>
                <w:sz w:val="24"/>
              </w:rPr>
              <w:t>c）应对审计记录进行保护，定期备份，避免受到未预期的删除、修改或覆盖等；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Mar>
              <w:top w:w="90" w:type="dxa"/>
              <w:left w:w="90" w:type="dxa"/>
              <w:bottom w:w="90" w:type="dxa"/>
              <w:right w:w="90" w:type="dxa"/>
            </w:tcMar>
            <w:vAlign w:val="top"/>
          </w:tcPr>
          <w:p>
            <w:pPr>
              <w:pStyle w:val="18"/>
              <w:jc w:val="center"/>
              <w:rPr>
                <w:rFonts w:hint="default"/>
              </w:rPr>
            </w:pPr>
            <w:r>
              <w:rPr>
                <w:rFonts w:ascii="宋体" w:hAnsi="宋体" w:cs="宋体"/>
                <w:sz w:val="24"/>
              </w:rPr>
              <w:t>19</w:t>
            </w:r>
          </w:p>
        </w:tc>
        <w:tc>
          <w:tcPr>
            <w:tcW w:w="1117" w:type="dxa"/>
            <w:vMerge w:val="continue"/>
            <w:vAlign w:val="top"/>
          </w:tcPr>
          <w:p/>
        </w:tc>
        <w:tc>
          <w:tcPr>
            <w:tcW w:w="8018" w:type="dxa"/>
            <w:tcMar>
              <w:top w:w="90" w:type="dxa"/>
              <w:left w:w="90" w:type="dxa"/>
              <w:bottom w:w="90" w:type="dxa"/>
              <w:right w:w="90" w:type="dxa"/>
            </w:tcMar>
            <w:vAlign w:val="top"/>
          </w:tcPr>
          <w:p>
            <w:pPr>
              <w:pStyle w:val="18"/>
              <w:rPr>
                <w:rFonts w:hint="default"/>
              </w:rPr>
            </w:pPr>
            <w:r>
              <w:rPr>
                <w:rFonts w:ascii="宋体" w:hAnsi="宋体" w:cs="宋体"/>
                <w:sz w:val="24"/>
              </w:rPr>
              <w:t>d）应能对远程访问的用户行为、访问互联网的用户行为等单独进行行为审计和数据分析。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3" w:type="dxa"/>
            <w:tcMar>
              <w:top w:w="90" w:type="dxa"/>
              <w:left w:w="90" w:type="dxa"/>
              <w:bottom w:w="90" w:type="dxa"/>
              <w:right w:w="90" w:type="dxa"/>
            </w:tcMar>
            <w:vAlign w:val="top"/>
          </w:tcPr>
          <w:p>
            <w:pPr>
              <w:pStyle w:val="18"/>
              <w:jc w:val="center"/>
              <w:rPr>
                <w:rFonts w:hint="default"/>
              </w:rPr>
            </w:pPr>
            <w:r>
              <w:rPr>
                <w:rFonts w:ascii="宋体" w:hAnsi="宋体" w:cs="宋体"/>
                <w:sz w:val="24"/>
              </w:rPr>
              <w:t>20</w:t>
            </w:r>
          </w:p>
        </w:tc>
        <w:tc>
          <w:tcPr>
            <w:tcW w:w="1117" w:type="dxa"/>
            <w:tcMar>
              <w:top w:w="90" w:type="dxa"/>
              <w:left w:w="90" w:type="dxa"/>
              <w:bottom w:w="90" w:type="dxa"/>
              <w:right w:w="90" w:type="dxa"/>
            </w:tcMar>
            <w:vAlign w:val="top"/>
          </w:tcPr>
          <w:p>
            <w:pPr>
              <w:pStyle w:val="18"/>
              <w:jc w:val="center"/>
              <w:rPr>
                <w:rFonts w:hint="default"/>
              </w:rPr>
            </w:pPr>
            <w:r>
              <w:rPr>
                <w:rFonts w:ascii="宋体" w:hAnsi="宋体" w:cs="宋体"/>
                <w:sz w:val="24"/>
              </w:rPr>
              <w:t>可信验证</w:t>
            </w:r>
          </w:p>
        </w:tc>
        <w:tc>
          <w:tcPr>
            <w:tcW w:w="8018" w:type="dxa"/>
            <w:tcMar>
              <w:top w:w="90" w:type="dxa"/>
              <w:left w:w="90" w:type="dxa"/>
              <w:bottom w:w="90" w:type="dxa"/>
              <w:right w:w="90" w:type="dxa"/>
            </w:tcMar>
            <w:vAlign w:val="top"/>
          </w:tcPr>
          <w:p>
            <w:pPr>
              <w:pStyle w:val="18"/>
              <w:rPr>
                <w:rFonts w:hint="default"/>
              </w:rPr>
            </w:pPr>
            <w:r>
              <w:rPr>
                <w:rFonts w:ascii="宋体" w:hAnsi="宋体" w:cs="宋体"/>
                <w:sz w:val="24"/>
              </w:rPr>
              <w:t>a）可基于可信根对边界设备的系统引导程序、系统程序、重要配置参数和边界防护应用程序等进行可信验证，并在应用程序的关键执行环节进行动态可信验证，在检测到其可信性受到破坏后进行报警，并将验证结果形成审计记录送至安全管理中心。</w:t>
            </w:r>
          </w:p>
        </w:tc>
      </w:tr>
    </w:tbl>
    <w:p>
      <w:pPr>
        <w:pStyle w:val="18"/>
        <w:ind w:firstLine="482" w:firstLineChars="200"/>
        <w:jc w:val="both"/>
        <w:rPr>
          <w:rFonts w:hint="default"/>
        </w:rPr>
      </w:pPr>
      <w:r>
        <w:rPr>
          <w:rFonts w:ascii="宋体" w:hAnsi="宋体" w:cs="宋体"/>
          <w:b/>
          <w:sz w:val="24"/>
          <w:shd w:val="clear" w:color="auto" w:fill="FFFFFF"/>
        </w:rPr>
        <w:t>2.4.2.测评实施</w:t>
      </w:r>
    </w:p>
    <w:p>
      <w:pPr>
        <w:pStyle w:val="18"/>
        <w:ind w:firstLine="480"/>
        <w:jc w:val="both"/>
        <w:rPr>
          <w:rFonts w:hint="default"/>
        </w:rPr>
      </w:pPr>
      <w:r>
        <w:rPr>
          <w:rFonts w:ascii="宋体" w:hAnsi="宋体" w:cs="宋体"/>
          <w:sz w:val="24"/>
          <w:shd w:val="clear" w:color="auto" w:fill="FFFFFF"/>
        </w:rPr>
        <w:t>安全区域边界测评中，以安全配置核查、人工验证和网络监听与分析等方法为主，文档查阅与分析等方法为辅来获取必要证据，用于评测系统的网络安全保护能力。</w:t>
      </w:r>
    </w:p>
    <w:p>
      <w:pPr>
        <w:pStyle w:val="18"/>
        <w:ind w:firstLine="482" w:firstLineChars="200"/>
        <w:jc w:val="both"/>
        <w:outlineLvl w:val="5"/>
        <w:rPr>
          <w:rFonts w:hint="default"/>
        </w:rPr>
      </w:pPr>
      <w:r>
        <w:rPr>
          <w:rFonts w:ascii="宋体" w:hAnsi="宋体" w:cs="宋体"/>
          <w:b/>
          <w:sz w:val="24"/>
          <w:shd w:val="clear" w:color="auto" w:fill="FFFFFF"/>
        </w:rPr>
        <w:t>2.5.安全计算环境测评</w:t>
      </w:r>
    </w:p>
    <w:p>
      <w:pPr>
        <w:pStyle w:val="18"/>
        <w:ind w:firstLine="482" w:firstLineChars="200"/>
        <w:jc w:val="both"/>
        <w:rPr>
          <w:rFonts w:hint="default"/>
        </w:rPr>
      </w:pPr>
      <w:r>
        <w:rPr>
          <w:rFonts w:ascii="宋体" w:hAnsi="宋体" w:cs="宋体"/>
          <w:b/>
          <w:sz w:val="24"/>
          <w:shd w:val="clear" w:color="auto" w:fill="FFFFFF"/>
        </w:rPr>
        <w:t>2.5.1.测评指标</w:t>
      </w:r>
    </w:p>
    <w:p>
      <w:pPr>
        <w:pStyle w:val="18"/>
        <w:jc w:val="center"/>
        <w:rPr>
          <w:rFonts w:hint="default"/>
        </w:rPr>
      </w:pPr>
      <w:r>
        <w:rPr>
          <w:rFonts w:ascii="宋体" w:hAnsi="宋体" w:cs="宋体"/>
          <w:sz w:val="24"/>
          <w:shd w:val="clear" w:color="auto" w:fill="FFFFFF"/>
        </w:rPr>
        <w:t>安全计算环境（通用要求）测评指标</w:t>
      </w:r>
    </w:p>
    <w:tbl>
      <w:tblPr>
        <w:tblStyle w:val="17"/>
        <w:tblW w:w="96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804"/>
        <w:gridCol w:w="8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9" w:type="dxa"/>
            <w:shd w:val="clear" w:color="auto" w:fill="BFBFBF"/>
            <w:tcMar>
              <w:top w:w="90" w:type="dxa"/>
              <w:left w:w="90" w:type="dxa"/>
              <w:bottom w:w="90" w:type="dxa"/>
              <w:right w:w="90" w:type="dxa"/>
            </w:tcMar>
            <w:vAlign w:val="top"/>
          </w:tcPr>
          <w:p>
            <w:pPr>
              <w:pStyle w:val="18"/>
              <w:jc w:val="center"/>
              <w:rPr>
                <w:rFonts w:hint="default"/>
              </w:rPr>
            </w:pPr>
            <w:r>
              <w:rPr>
                <w:rFonts w:ascii="宋体" w:hAnsi="宋体" w:cs="宋体"/>
                <w:b/>
                <w:sz w:val="24"/>
              </w:rPr>
              <w:t>序号</w:t>
            </w:r>
          </w:p>
        </w:tc>
        <w:tc>
          <w:tcPr>
            <w:tcW w:w="804" w:type="dxa"/>
            <w:shd w:val="clear" w:color="auto" w:fill="BFBFBF"/>
            <w:tcMar>
              <w:top w:w="90" w:type="dxa"/>
              <w:left w:w="90" w:type="dxa"/>
              <w:bottom w:w="90" w:type="dxa"/>
              <w:right w:w="90" w:type="dxa"/>
            </w:tcMar>
            <w:vAlign w:val="top"/>
          </w:tcPr>
          <w:p>
            <w:pPr>
              <w:pStyle w:val="18"/>
              <w:jc w:val="center"/>
              <w:rPr>
                <w:rFonts w:hint="default"/>
              </w:rPr>
            </w:pPr>
            <w:r>
              <w:rPr>
                <w:rFonts w:ascii="宋体" w:hAnsi="宋体" w:cs="宋体"/>
                <w:b/>
                <w:sz w:val="24"/>
              </w:rPr>
              <w:t>安全子类</w:t>
            </w:r>
          </w:p>
        </w:tc>
        <w:tc>
          <w:tcPr>
            <w:tcW w:w="8325" w:type="dxa"/>
            <w:shd w:val="clear" w:color="auto" w:fill="BFBFBF"/>
            <w:tcMar>
              <w:top w:w="90" w:type="dxa"/>
              <w:left w:w="90" w:type="dxa"/>
              <w:bottom w:w="90" w:type="dxa"/>
              <w:right w:w="90" w:type="dxa"/>
            </w:tcMar>
            <w:vAlign w:val="top"/>
          </w:tcPr>
          <w:p>
            <w:pPr>
              <w:pStyle w:val="18"/>
              <w:jc w:val="center"/>
              <w:rPr>
                <w:rFonts w:hint="default"/>
              </w:rPr>
            </w:pPr>
            <w:r>
              <w:rPr>
                <w:rFonts w:ascii="宋体" w:hAnsi="宋体" w:cs="宋体"/>
                <w:b/>
                <w:sz w:val="24"/>
              </w:rPr>
              <w:t>测评指标描述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9" w:type="dxa"/>
            <w:tcMar>
              <w:top w:w="90" w:type="dxa"/>
              <w:left w:w="90" w:type="dxa"/>
              <w:bottom w:w="90" w:type="dxa"/>
              <w:right w:w="90" w:type="dxa"/>
            </w:tcMar>
            <w:vAlign w:val="top"/>
          </w:tcPr>
          <w:p>
            <w:pPr>
              <w:pStyle w:val="18"/>
              <w:jc w:val="center"/>
              <w:rPr>
                <w:rFonts w:hint="default"/>
              </w:rPr>
            </w:pPr>
            <w:r>
              <w:rPr>
                <w:rFonts w:ascii="宋体" w:hAnsi="宋体" w:cs="宋体"/>
                <w:sz w:val="24"/>
              </w:rPr>
              <w:t>1</w:t>
            </w:r>
          </w:p>
        </w:tc>
        <w:tc>
          <w:tcPr>
            <w:tcW w:w="804" w:type="dxa"/>
            <w:vMerge w:val="restart"/>
            <w:tcMar>
              <w:top w:w="90" w:type="dxa"/>
              <w:left w:w="90" w:type="dxa"/>
              <w:bottom w:w="90" w:type="dxa"/>
              <w:right w:w="90" w:type="dxa"/>
            </w:tcMar>
            <w:vAlign w:val="top"/>
          </w:tcPr>
          <w:p>
            <w:pPr>
              <w:pStyle w:val="18"/>
              <w:jc w:val="center"/>
              <w:rPr>
                <w:rFonts w:hint="default"/>
              </w:rPr>
            </w:pPr>
            <w:r>
              <w:rPr>
                <w:rFonts w:ascii="宋体" w:hAnsi="宋体" w:cs="宋体"/>
                <w:sz w:val="24"/>
              </w:rPr>
              <w:t>身份鉴别</w:t>
            </w:r>
          </w:p>
        </w:tc>
        <w:tc>
          <w:tcPr>
            <w:tcW w:w="8325" w:type="dxa"/>
            <w:tcMar>
              <w:top w:w="90" w:type="dxa"/>
              <w:left w:w="90" w:type="dxa"/>
              <w:bottom w:w="90" w:type="dxa"/>
              <w:right w:w="90" w:type="dxa"/>
            </w:tcMar>
            <w:vAlign w:val="top"/>
          </w:tcPr>
          <w:p>
            <w:pPr>
              <w:pStyle w:val="18"/>
              <w:rPr>
                <w:rFonts w:hint="default"/>
              </w:rPr>
            </w:pPr>
            <w:r>
              <w:rPr>
                <w:rFonts w:ascii="宋体" w:hAnsi="宋体" w:cs="宋体"/>
                <w:sz w:val="24"/>
              </w:rPr>
              <w:t>a）应对登录的用户进行身份标识和鉴别，身份标识具有唯一性，身份鉴别信息具有复杂度要求并定期更换；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9" w:type="dxa"/>
            <w:tcMar>
              <w:top w:w="90" w:type="dxa"/>
              <w:left w:w="90" w:type="dxa"/>
              <w:bottom w:w="90" w:type="dxa"/>
              <w:right w:w="90" w:type="dxa"/>
            </w:tcMar>
            <w:vAlign w:val="top"/>
          </w:tcPr>
          <w:p>
            <w:pPr>
              <w:pStyle w:val="18"/>
              <w:jc w:val="center"/>
              <w:rPr>
                <w:rFonts w:hint="default"/>
              </w:rPr>
            </w:pPr>
            <w:r>
              <w:rPr>
                <w:rFonts w:ascii="宋体" w:hAnsi="宋体" w:cs="宋体"/>
                <w:sz w:val="24"/>
              </w:rPr>
              <w:t>2</w:t>
            </w:r>
          </w:p>
        </w:tc>
        <w:tc>
          <w:tcPr>
            <w:tcW w:w="804" w:type="dxa"/>
            <w:vMerge w:val="continue"/>
            <w:vAlign w:val="top"/>
          </w:tcPr>
          <w:p/>
        </w:tc>
        <w:tc>
          <w:tcPr>
            <w:tcW w:w="8325" w:type="dxa"/>
            <w:tcMar>
              <w:top w:w="90" w:type="dxa"/>
              <w:left w:w="90" w:type="dxa"/>
              <w:bottom w:w="90" w:type="dxa"/>
              <w:right w:w="90" w:type="dxa"/>
            </w:tcMar>
            <w:vAlign w:val="top"/>
          </w:tcPr>
          <w:p>
            <w:pPr>
              <w:pStyle w:val="18"/>
              <w:rPr>
                <w:rFonts w:hint="default"/>
              </w:rPr>
            </w:pPr>
            <w:r>
              <w:rPr>
                <w:rFonts w:ascii="宋体" w:hAnsi="宋体" w:cs="宋体"/>
                <w:sz w:val="24"/>
              </w:rPr>
              <w:t>b）应具有登录失败处理功能，应配置并启用结束会话、限制非法登录次数和当登录连接超时自动退出等相关措施；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9" w:type="dxa"/>
            <w:tcMar>
              <w:top w:w="90" w:type="dxa"/>
              <w:left w:w="90" w:type="dxa"/>
              <w:bottom w:w="90" w:type="dxa"/>
              <w:right w:w="90" w:type="dxa"/>
            </w:tcMar>
            <w:vAlign w:val="top"/>
          </w:tcPr>
          <w:p>
            <w:pPr>
              <w:pStyle w:val="18"/>
              <w:jc w:val="center"/>
              <w:rPr>
                <w:rFonts w:hint="default"/>
              </w:rPr>
            </w:pPr>
            <w:r>
              <w:rPr>
                <w:rFonts w:ascii="宋体" w:hAnsi="宋体" w:cs="宋体"/>
                <w:sz w:val="24"/>
              </w:rPr>
              <w:t>3</w:t>
            </w:r>
          </w:p>
        </w:tc>
        <w:tc>
          <w:tcPr>
            <w:tcW w:w="804" w:type="dxa"/>
            <w:vMerge w:val="continue"/>
            <w:vAlign w:val="top"/>
          </w:tcPr>
          <w:p/>
        </w:tc>
        <w:tc>
          <w:tcPr>
            <w:tcW w:w="8325" w:type="dxa"/>
            <w:tcMar>
              <w:top w:w="90" w:type="dxa"/>
              <w:left w:w="90" w:type="dxa"/>
              <w:bottom w:w="90" w:type="dxa"/>
              <w:right w:w="90" w:type="dxa"/>
            </w:tcMar>
            <w:vAlign w:val="top"/>
          </w:tcPr>
          <w:p>
            <w:pPr>
              <w:pStyle w:val="18"/>
              <w:rPr>
                <w:rFonts w:hint="default"/>
              </w:rPr>
            </w:pPr>
            <w:r>
              <w:rPr>
                <w:rFonts w:ascii="宋体" w:hAnsi="宋体" w:cs="宋体"/>
                <w:sz w:val="24"/>
              </w:rPr>
              <w:t>c）当进行远程管理时，应采取必要措施防止鉴别信息在网络传输过程中被窃听；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9" w:type="dxa"/>
            <w:tcMar>
              <w:top w:w="90" w:type="dxa"/>
              <w:left w:w="90" w:type="dxa"/>
              <w:bottom w:w="90" w:type="dxa"/>
              <w:right w:w="90" w:type="dxa"/>
            </w:tcMar>
            <w:vAlign w:val="top"/>
          </w:tcPr>
          <w:p>
            <w:pPr>
              <w:pStyle w:val="18"/>
              <w:jc w:val="center"/>
              <w:rPr>
                <w:rFonts w:hint="default"/>
              </w:rPr>
            </w:pPr>
            <w:r>
              <w:rPr>
                <w:rFonts w:ascii="宋体" w:hAnsi="宋体" w:cs="宋体"/>
                <w:sz w:val="24"/>
              </w:rPr>
              <w:t>4</w:t>
            </w:r>
          </w:p>
        </w:tc>
        <w:tc>
          <w:tcPr>
            <w:tcW w:w="804" w:type="dxa"/>
            <w:vMerge w:val="continue"/>
            <w:vAlign w:val="top"/>
          </w:tcPr>
          <w:p/>
        </w:tc>
        <w:tc>
          <w:tcPr>
            <w:tcW w:w="8325" w:type="dxa"/>
            <w:tcMar>
              <w:top w:w="90" w:type="dxa"/>
              <w:left w:w="90" w:type="dxa"/>
              <w:bottom w:w="90" w:type="dxa"/>
              <w:right w:w="90" w:type="dxa"/>
            </w:tcMar>
            <w:vAlign w:val="top"/>
          </w:tcPr>
          <w:p>
            <w:pPr>
              <w:pStyle w:val="18"/>
              <w:rPr>
                <w:rFonts w:hint="default"/>
              </w:rPr>
            </w:pPr>
            <w:r>
              <w:rPr>
                <w:rFonts w:ascii="宋体" w:hAnsi="宋体" w:cs="宋体"/>
                <w:sz w:val="24"/>
              </w:rPr>
              <w:t>d）应采用口令、密码技术、生物技术等两种或两种以上组合的鉴别技术对用户进行身份鉴别，且其中一种鉴别技术至少应使用密码技术来实现。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9" w:type="dxa"/>
            <w:tcMar>
              <w:top w:w="90" w:type="dxa"/>
              <w:left w:w="90" w:type="dxa"/>
              <w:bottom w:w="90" w:type="dxa"/>
              <w:right w:w="90" w:type="dxa"/>
            </w:tcMar>
            <w:vAlign w:val="top"/>
          </w:tcPr>
          <w:p>
            <w:pPr>
              <w:pStyle w:val="18"/>
              <w:jc w:val="center"/>
              <w:rPr>
                <w:rFonts w:hint="default"/>
              </w:rPr>
            </w:pPr>
            <w:r>
              <w:rPr>
                <w:rFonts w:ascii="宋体" w:hAnsi="宋体" w:cs="宋体"/>
                <w:sz w:val="24"/>
              </w:rPr>
              <w:t>5</w:t>
            </w:r>
          </w:p>
        </w:tc>
        <w:tc>
          <w:tcPr>
            <w:tcW w:w="804" w:type="dxa"/>
            <w:vMerge w:val="restart"/>
            <w:tcMar>
              <w:top w:w="90" w:type="dxa"/>
              <w:left w:w="90" w:type="dxa"/>
              <w:bottom w:w="90" w:type="dxa"/>
              <w:right w:w="90" w:type="dxa"/>
            </w:tcMar>
            <w:vAlign w:val="top"/>
          </w:tcPr>
          <w:p>
            <w:pPr>
              <w:pStyle w:val="18"/>
              <w:jc w:val="center"/>
              <w:rPr>
                <w:rFonts w:hint="default"/>
              </w:rPr>
            </w:pPr>
            <w:r>
              <w:rPr>
                <w:rFonts w:ascii="宋体" w:hAnsi="宋体" w:cs="宋体"/>
                <w:sz w:val="24"/>
              </w:rPr>
              <w:t>访问控制</w:t>
            </w:r>
          </w:p>
        </w:tc>
        <w:tc>
          <w:tcPr>
            <w:tcW w:w="8325" w:type="dxa"/>
            <w:tcMar>
              <w:top w:w="90" w:type="dxa"/>
              <w:left w:w="90" w:type="dxa"/>
              <w:bottom w:w="90" w:type="dxa"/>
              <w:right w:w="90" w:type="dxa"/>
            </w:tcMar>
            <w:vAlign w:val="top"/>
          </w:tcPr>
          <w:p>
            <w:pPr>
              <w:pStyle w:val="18"/>
              <w:rPr>
                <w:rFonts w:hint="default"/>
              </w:rPr>
            </w:pPr>
            <w:r>
              <w:rPr>
                <w:rFonts w:ascii="宋体" w:hAnsi="宋体" w:cs="宋体"/>
                <w:sz w:val="24"/>
              </w:rPr>
              <w:t>a）应对登录的用户分配账户和权限；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9" w:type="dxa"/>
            <w:tcMar>
              <w:top w:w="90" w:type="dxa"/>
              <w:left w:w="90" w:type="dxa"/>
              <w:bottom w:w="90" w:type="dxa"/>
              <w:right w:w="90" w:type="dxa"/>
            </w:tcMar>
            <w:vAlign w:val="top"/>
          </w:tcPr>
          <w:p>
            <w:pPr>
              <w:pStyle w:val="18"/>
              <w:jc w:val="center"/>
              <w:rPr>
                <w:rFonts w:hint="default"/>
              </w:rPr>
            </w:pPr>
            <w:r>
              <w:rPr>
                <w:rFonts w:ascii="宋体" w:hAnsi="宋体" w:cs="宋体"/>
                <w:sz w:val="24"/>
              </w:rPr>
              <w:t>6</w:t>
            </w:r>
          </w:p>
        </w:tc>
        <w:tc>
          <w:tcPr>
            <w:tcW w:w="804" w:type="dxa"/>
            <w:vMerge w:val="continue"/>
            <w:vAlign w:val="top"/>
          </w:tcPr>
          <w:p/>
        </w:tc>
        <w:tc>
          <w:tcPr>
            <w:tcW w:w="8325" w:type="dxa"/>
            <w:tcMar>
              <w:top w:w="90" w:type="dxa"/>
              <w:left w:w="90" w:type="dxa"/>
              <w:bottom w:w="90" w:type="dxa"/>
              <w:right w:w="90" w:type="dxa"/>
            </w:tcMar>
            <w:vAlign w:val="top"/>
          </w:tcPr>
          <w:p>
            <w:pPr>
              <w:pStyle w:val="18"/>
              <w:rPr>
                <w:rFonts w:hint="default"/>
              </w:rPr>
            </w:pPr>
            <w:r>
              <w:rPr>
                <w:rFonts w:ascii="宋体" w:hAnsi="宋体" w:cs="宋体"/>
                <w:sz w:val="24"/>
              </w:rPr>
              <w:t>b）应重命名或删除默认账户，修改默认账户的默认口令；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9" w:type="dxa"/>
            <w:tcMar>
              <w:top w:w="90" w:type="dxa"/>
              <w:left w:w="90" w:type="dxa"/>
              <w:bottom w:w="90" w:type="dxa"/>
              <w:right w:w="90" w:type="dxa"/>
            </w:tcMar>
            <w:vAlign w:val="top"/>
          </w:tcPr>
          <w:p>
            <w:pPr>
              <w:pStyle w:val="18"/>
              <w:jc w:val="center"/>
              <w:rPr>
                <w:rFonts w:hint="default"/>
              </w:rPr>
            </w:pPr>
            <w:r>
              <w:rPr>
                <w:rFonts w:ascii="宋体" w:hAnsi="宋体" w:cs="宋体"/>
                <w:sz w:val="24"/>
              </w:rPr>
              <w:t>7</w:t>
            </w:r>
          </w:p>
        </w:tc>
        <w:tc>
          <w:tcPr>
            <w:tcW w:w="804" w:type="dxa"/>
            <w:vMerge w:val="continue"/>
            <w:vAlign w:val="top"/>
          </w:tcPr>
          <w:p/>
        </w:tc>
        <w:tc>
          <w:tcPr>
            <w:tcW w:w="8325" w:type="dxa"/>
            <w:tcMar>
              <w:top w:w="90" w:type="dxa"/>
              <w:left w:w="90" w:type="dxa"/>
              <w:bottom w:w="90" w:type="dxa"/>
              <w:right w:w="90" w:type="dxa"/>
            </w:tcMar>
            <w:vAlign w:val="top"/>
          </w:tcPr>
          <w:p>
            <w:pPr>
              <w:pStyle w:val="18"/>
              <w:rPr>
                <w:rFonts w:hint="default"/>
              </w:rPr>
            </w:pPr>
            <w:r>
              <w:rPr>
                <w:rFonts w:ascii="宋体" w:hAnsi="宋体" w:cs="宋体"/>
                <w:sz w:val="24"/>
              </w:rPr>
              <w:t>c）应及时删除或停用多余的、过期的账户，避免共享账户的存在；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9" w:type="dxa"/>
            <w:tcMar>
              <w:top w:w="90" w:type="dxa"/>
              <w:left w:w="90" w:type="dxa"/>
              <w:bottom w:w="90" w:type="dxa"/>
              <w:right w:w="90" w:type="dxa"/>
            </w:tcMar>
            <w:vAlign w:val="top"/>
          </w:tcPr>
          <w:p>
            <w:pPr>
              <w:pStyle w:val="18"/>
              <w:jc w:val="center"/>
              <w:rPr>
                <w:rFonts w:hint="default"/>
              </w:rPr>
            </w:pPr>
            <w:r>
              <w:rPr>
                <w:rFonts w:ascii="宋体" w:hAnsi="宋体" w:cs="宋体"/>
                <w:sz w:val="24"/>
              </w:rPr>
              <w:t>8</w:t>
            </w:r>
          </w:p>
        </w:tc>
        <w:tc>
          <w:tcPr>
            <w:tcW w:w="804" w:type="dxa"/>
            <w:vMerge w:val="continue"/>
            <w:vAlign w:val="top"/>
          </w:tcPr>
          <w:p/>
        </w:tc>
        <w:tc>
          <w:tcPr>
            <w:tcW w:w="8325" w:type="dxa"/>
            <w:tcMar>
              <w:top w:w="90" w:type="dxa"/>
              <w:left w:w="90" w:type="dxa"/>
              <w:bottom w:w="90" w:type="dxa"/>
              <w:right w:w="90" w:type="dxa"/>
            </w:tcMar>
            <w:vAlign w:val="top"/>
          </w:tcPr>
          <w:p>
            <w:pPr>
              <w:pStyle w:val="18"/>
              <w:rPr>
                <w:rFonts w:hint="default"/>
              </w:rPr>
            </w:pPr>
            <w:r>
              <w:rPr>
                <w:rFonts w:ascii="宋体" w:hAnsi="宋体" w:cs="宋体"/>
                <w:sz w:val="24"/>
              </w:rPr>
              <w:t>d）应授予管理用户所需的最小权限，实现管理用户的权限分离；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9" w:type="dxa"/>
            <w:tcMar>
              <w:top w:w="90" w:type="dxa"/>
              <w:left w:w="90" w:type="dxa"/>
              <w:bottom w:w="90" w:type="dxa"/>
              <w:right w:w="90" w:type="dxa"/>
            </w:tcMar>
            <w:vAlign w:val="top"/>
          </w:tcPr>
          <w:p>
            <w:pPr>
              <w:pStyle w:val="18"/>
              <w:jc w:val="center"/>
              <w:rPr>
                <w:rFonts w:hint="default"/>
              </w:rPr>
            </w:pPr>
            <w:r>
              <w:rPr>
                <w:rFonts w:ascii="宋体" w:hAnsi="宋体" w:cs="宋体"/>
                <w:sz w:val="24"/>
              </w:rPr>
              <w:t>9</w:t>
            </w:r>
          </w:p>
        </w:tc>
        <w:tc>
          <w:tcPr>
            <w:tcW w:w="804" w:type="dxa"/>
            <w:vMerge w:val="continue"/>
            <w:vAlign w:val="top"/>
          </w:tcPr>
          <w:p/>
        </w:tc>
        <w:tc>
          <w:tcPr>
            <w:tcW w:w="8325" w:type="dxa"/>
            <w:tcMar>
              <w:top w:w="90" w:type="dxa"/>
              <w:left w:w="90" w:type="dxa"/>
              <w:bottom w:w="90" w:type="dxa"/>
              <w:right w:w="90" w:type="dxa"/>
            </w:tcMar>
            <w:vAlign w:val="top"/>
          </w:tcPr>
          <w:p>
            <w:pPr>
              <w:pStyle w:val="18"/>
              <w:rPr>
                <w:rFonts w:hint="default"/>
              </w:rPr>
            </w:pPr>
            <w:r>
              <w:rPr>
                <w:rFonts w:ascii="宋体" w:hAnsi="宋体" w:cs="宋体"/>
                <w:sz w:val="24"/>
              </w:rPr>
              <w:t>e）应由授权主体配置访问控制策略，访问控制策略规定主体对客体的访问规则；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9" w:type="dxa"/>
            <w:tcMar>
              <w:top w:w="90" w:type="dxa"/>
              <w:left w:w="90" w:type="dxa"/>
              <w:bottom w:w="90" w:type="dxa"/>
              <w:right w:w="90" w:type="dxa"/>
            </w:tcMar>
            <w:vAlign w:val="top"/>
          </w:tcPr>
          <w:p>
            <w:pPr>
              <w:pStyle w:val="18"/>
              <w:jc w:val="center"/>
              <w:rPr>
                <w:rFonts w:hint="default"/>
              </w:rPr>
            </w:pPr>
            <w:r>
              <w:rPr>
                <w:rFonts w:ascii="宋体" w:hAnsi="宋体" w:cs="宋体"/>
                <w:sz w:val="24"/>
              </w:rPr>
              <w:t>10</w:t>
            </w:r>
          </w:p>
        </w:tc>
        <w:tc>
          <w:tcPr>
            <w:tcW w:w="804" w:type="dxa"/>
            <w:vMerge w:val="continue"/>
            <w:vAlign w:val="top"/>
          </w:tcPr>
          <w:p/>
        </w:tc>
        <w:tc>
          <w:tcPr>
            <w:tcW w:w="8325" w:type="dxa"/>
            <w:tcMar>
              <w:top w:w="90" w:type="dxa"/>
              <w:left w:w="90" w:type="dxa"/>
              <w:bottom w:w="90" w:type="dxa"/>
              <w:right w:w="90" w:type="dxa"/>
            </w:tcMar>
            <w:vAlign w:val="top"/>
          </w:tcPr>
          <w:p>
            <w:pPr>
              <w:pStyle w:val="18"/>
              <w:rPr>
                <w:rFonts w:hint="default"/>
              </w:rPr>
            </w:pPr>
            <w:r>
              <w:rPr>
                <w:rFonts w:ascii="宋体" w:hAnsi="宋体" w:cs="宋体"/>
                <w:sz w:val="24"/>
              </w:rPr>
              <w:t>f）访问控制的粒度应达到主体为用户级或进程级，客体为文件、数据库表级；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9" w:type="dxa"/>
            <w:tcMar>
              <w:top w:w="90" w:type="dxa"/>
              <w:left w:w="90" w:type="dxa"/>
              <w:bottom w:w="90" w:type="dxa"/>
              <w:right w:w="90" w:type="dxa"/>
            </w:tcMar>
            <w:vAlign w:val="top"/>
          </w:tcPr>
          <w:p>
            <w:pPr>
              <w:pStyle w:val="18"/>
              <w:jc w:val="center"/>
              <w:rPr>
                <w:rFonts w:hint="default"/>
              </w:rPr>
            </w:pPr>
            <w:r>
              <w:rPr>
                <w:rFonts w:ascii="宋体" w:hAnsi="宋体" w:cs="宋体"/>
                <w:sz w:val="24"/>
              </w:rPr>
              <w:t>11</w:t>
            </w:r>
          </w:p>
        </w:tc>
        <w:tc>
          <w:tcPr>
            <w:tcW w:w="804" w:type="dxa"/>
            <w:vMerge w:val="continue"/>
            <w:vAlign w:val="top"/>
          </w:tcPr>
          <w:p/>
        </w:tc>
        <w:tc>
          <w:tcPr>
            <w:tcW w:w="8325" w:type="dxa"/>
            <w:tcMar>
              <w:top w:w="90" w:type="dxa"/>
              <w:left w:w="90" w:type="dxa"/>
              <w:bottom w:w="90" w:type="dxa"/>
              <w:right w:w="90" w:type="dxa"/>
            </w:tcMar>
            <w:vAlign w:val="top"/>
          </w:tcPr>
          <w:p>
            <w:pPr>
              <w:pStyle w:val="18"/>
              <w:rPr>
                <w:rFonts w:hint="default"/>
              </w:rPr>
            </w:pPr>
            <w:r>
              <w:rPr>
                <w:rFonts w:ascii="宋体" w:hAnsi="宋体" w:cs="宋体"/>
                <w:sz w:val="24"/>
              </w:rPr>
              <w:t>g）应对重要主体和客体设置安全标记，并控制主体对有安全标记信息资源的访问。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9" w:type="dxa"/>
            <w:tcMar>
              <w:top w:w="90" w:type="dxa"/>
              <w:left w:w="90" w:type="dxa"/>
              <w:bottom w:w="90" w:type="dxa"/>
              <w:right w:w="90" w:type="dxa"/>
            </w:tcMar>
            <w:vAlign w:val="top"/>
          </w:tcPr>
          <w:p>
            <w:pPr>
              <w:pStyle w:val="18"/>
              <w:jc w:val="center"/>
              <w:rPr>
                <w:rFonts w:hint="default"/>
              </w:rPr>
            </w:pPr>
            <w:r>
              <w:rPr>
                <w:rFonts w:ascii="宋体" w:hAnsi="宋体" w:cs="宋体"/>
                <w:sz w:val="24"/>
              </w:rPr>
              <w:t>12</w:t>
            </w:r>
          </w:p>
        </w:tc>
        <w:tc>
          <w:tcPr>
            <w:tcW w:w="804" w:type="dxa"/>
            <w:vMerge w:val="restart"/>
            <w:tcMar>
              <w:top w:w="90" w:type="dxa"/>
              <w:left w:w="90" w:type="dxa"/>
              <w:bottom w:w="90" w:type="dxa"/>
              <w:right w:w="90" w:type="dxa"/>
            </w:tcMar>
            <w:vAlign w:val="top"/>
          </w:tcPr>
          <w:p>
            <w:pPr>
              <w:pStyle w:val="18"/>
              <w:jc w:val="center"/>
              <w:rPr>
                <w:rFonts w:hint="default"/>
              </w:rPr>
            </w:pPr>
            <w:r>
              <w:rPr>
                <w:rFonts w:ascii="宋体" w:hAnsi="宋体" w:cs="宋体"/>
                <w:sz w:val="24"/>
              </w:rPr>
              <w:t>安全审计</w:t>
            </w:r>
          </w:p>
        </w:tc>
        <w:tc>
          <w:tcPr>
            <w:tcW w:w="8325" w:type="dxa"/>
            <w:tcMar>
              <w:top w:w="90" w:type="dxa"/>
              <w:left w:w="90" w:type="dxa"/>
              <w:bottom w:w="90" w:type="dxa"/>
              <w:right w:w="90" w:type="dxa"/>
            </w:tcMar>
            <w:vAlign w:val="top"/>
          </w:tcPr>
          <w:p>
            <w:pPr>
              <w:pStyle w:val="18"/>
              <w:rPr>
                <w:rFonts w:hint="default"/>
              </w:rPr>
            </w:pPr>
            <w:r>
              <w:rPr>
                <w:rFonts w:ascii="宋体" w:hAnsi="宋体" w:cs="宋体"/>
                <w:sz w:val="24"/>
              </w:rPr>
              <w:t>a）应启用安全审计功能，审计覆盖到每个用户，对重要的用户行为和重要安全事件进行审计；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9" w:type="dxa"/>
            <w:tcMar>
              <w:top w:w="90" w:type="dxa"/>
              <w:left w:w="90" w:type="dxa"/>
              <w:bottom w:w="90" w:type="dxa"/>
              <w:right w:w="90" w:type="dxa"/>
            </w:tcMar>
            <w:vAlign w:val="top"/>
          </w:tcPr>
          <w:p>
            <w:pPr>
              <w:pStyle w:val="18"/>
              <w:jc w:val="center"/>
              <w:rPr>
                <w:rFonts w:hint="default"/>
              </w:rPr>
            </w:pPr>
            <w:r>
              <w:rPr>
                <w:rFonts w:ascii="宋体" w:hAnsi="宋体" w:cs="宋体"/>
                <w:sz w:val="24"/>
              </w:rPr>
              <w:t>13</w:t>
            </w:r>
          </w:p>
        </w:tc>
        <w:tc>
          <w:tcPr>
            <w:tcW w:w="804" w:type="dxa"/>
            <w:vMerge w:val="continue"/>
            <w:vAlign w:val="top"/>
          </w:tcPr>
          <w:p/>
        </w:tc>
        <w:tc>
          <w:tcPr>
            <w:tcW w:w="8325" w:type="dxa"/>
            <w:tcMar>
              <w:top w:w="90" w:type="dxa"/>
              <w:left w:w="90" w:type="dxa"/>
              <w:bottom w:w="90" w:type="dxa"/>
              <w:right w:w="90" w:type="dxa"/>
            </w:tcMar>
            <w:vAlign w:val="top"/>
          </w:tcPr>
          <w:p>
            <w:pPr>
              <w:pStyle w:val="18"/>
              <w:rPr>
                <w:rFonts w:hint="default"/>
              </w:rPr>
            </w:pPr>
            <w:r>
              <w:rPr>
                <w:rFonts w:ascii="宋体" w:hAnsi="宋体" w:cs="宋体"/>
                <w:sz w:val="24"/>
              </w:rPr>
              <w:t>b）审计记录应包括事件的日期和时间、用户、事件类型、事件是否成功及其他与审计相关的信息；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9" w:type="dxa"/>
            <w:tcMar>
              <w:top w:w="90" w:type="dxa"/>
              <w:left w:w="90" w:type="dxa"/>
              <w:bottom w:w="90" w:type="dxa"/>
              <w:right w:w="90" w:type="dxa"/>
            </w:tcMar>
            <w:vAlign w:val="top"/>
          </w:tcPr>
          <w:p>
            <w:pPr>
              <w:pStyle w:val="18"/>
              <w:jc w:val="center"/>
              <w:rPr>
                <w:rFonts w:hint="default"/>
              </w:rPr>
            </w:pPr>
            <w:r>
              <w:rPr>
                <w:rFonts w:ascii="宋体" w:hAnsi="宋体" w:cs="宋体"/>
                <w:sz w:val="24"/>
              </w:rPr>
              <w:t>14</w:t>
            </w:r>
          </w:p>
        </w:tc>
        <w:tc>
          <w:tcPr>
            <w:tcW w:w="804" w:type="dxa"/>
            <w:vMerge w:val="continue"/>
            <w:vAlign w:val="top"/>
          </w:tcPr>
          <w:p/>
        </w:tc>
        <w:tc>
          <w:tcPr>
            <w:tcW w:w="8325" w:type="dxa"/>
            <w:tcMar>
              <w:top w:w="90" w:type="dxa"/>
              <w:left w:w="90" w:type="dxa"/>
              <w:bottom w:w="90" w:type="dxa"/>
              <w:right w:w="90" w:type="dxa"/>
            </w:tcMar>
            <w:vAlign w:val="top"/>
          </w:tcPr>
          <w:p>
            <w:pPr>
              <w:pStyle w:val="18"/>
              <w:rPr>
                <w:rFonts w:hint="default"/>
              </w:rPr>
            </w:pPr>
            <w:r>
              <w:rPr>
                <w:rFonts w:ascii="宋体" w:hAnsi="宋体" w:cs="宋体"/>
                <w:sz w:val="24"/>
              </w:rPr>
              <w:t>c）应对审计记录进行保护，定期备份，避免受到未预期的删除、修改或覆盖等；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9" w:type="dxa"/>
            <w:tcMar>
              <w:top w:w="90" w:type="dxa"/>
              <w:left w:w="90" w:type="dxa"/>
              <w:bottom w:w="90" w:type="dxa"/>
              <w:right w:w="90" w:type="dxa"/>
            </w:tcMar>
            <w:vAlign w:val="top"/>
          </w:tcPr>
          <w:p>
            <w:pPr>
              <w:pStyle w:val="18"/>
              <w:jc w:val="center"/>
              <w:rPr>
                <w:rFonts w:hint="default"/>
              </w:rPr>
            </w:pPr>
            <w:r>
              <w:rPr>
                <w:rFonts w:ascii="宋体" w:hAnsi="宋体" w:cs="宋体"/>
                <w:sz w:val="24"/>
              </w:rPr>
              <w:t>15</w:t>
            </w:r>
          </w:p>
        </w:tc>
        <w:tc>
          <w:tcPr>
            <w:tcW w:w="804" w:type="dxa"/>
            <w:vMerge w:val="continue"/>
            <w:vAlign w:val="top"/>
          </w:tcPr>
          <w:p/>
        </w:tc>
        <w:tc>
          <w:tcPr>
            <w:tcW w:w="8325" w:type="dxa"/>
            <w:tcMar>
              <w:top w:w="90" w:type="dxa"/>
              <w:left w:w="90" w:type="dxa"/>
              <w:bottom w:w="90" w:type="dxa"/>
              <w:right w:w="90" w:type="dxa"/>
            </w:tcMar>
            <w:vAlign w:val="top"/>
          </w:tcPr>
          <w:p>
            <w:pPr>
              <w:pStyle w:val="18"/>
              <w:rPr>
                <w:rFonts w:hint="default"/>
              </w:rPr>
            </w:pPr>
            <w:r>
              <w:rPr>
                <w:rFonts w:ascii="宋体" w:hAnsi="宋体" w:cs="宋体"/>
                <w:sz w:val="24"/>
              </w:rPr>
              <w:t>d）应对审计进程进行保护，防止未经授权的中断。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9" w:type="dxa"/>
            <w:tcMar>
              <w:top w:w="90" w:type="dxa"/>
              <w:left w:w="90" w:type="dxa"/>
              <w:bottom w:w="90" w:type="dxa"/>
              <w:right w:w="90" w:type="dxa"/>
            </w:tcMar>
            <w:vAlign w:val="top"/>
          </w:tcPr>
          <w:p>
            <w:pPr>
              <w:pStyle w:val="18"/>
              <w:jc w:val="center"/>
              <w:rPr>
                <w:rFonts w:hint="default"/>
              </w:rPr>
            </w:pPr>
            <w:r>
              <w:rPr>
                <w:rFonts w:ascii="宋体" w:hAnsi="宋体" w:cs="宋体"/>
                <w:sz w:val="24"/>
              </w:rPr>
              <w:t>16</w:t>
            </w:r>
          </w:p>
        </w:tc>
        <w:tc>
          <w:tcPr>
            <w:tcW w:w="804" w:type="dxa"/>
            <w:vMerge w:val="restart"/>
            <w:tcMar>
              <w:top w:w="90" w:type="dxa"/>
              <w:left w:w="90" w:type="dxa"/>
              <w:bottom w:w="90" w:type="dxa"/>
              <w:right w:w="90" w:type="dxa"/>
            </w:tcMar>
            <w:vAlign w:val="top"/>
          </w:tcPr>
          <w:p>
            <w:pPr>
              <w:pStyle w:val="18"/>
              <w:jc w:val="center"/>
              <w:rPr>
                <w:rFonts w:hint="default"/>
              </w:rPr>
            </w:pPr>
            <w:r>
              <w:rPr>
                <w:rFonts w:ascii="宋体" w:hAnsi="宋体" w:cs="宋体"/>
                <w:sz w:val="24"/>
              </w:rPr>
              <w:t>入侵防范</w:t>
            </w:r>
          </w:p>
        </w:tc>
        <w:tc>
          <w:tcPr>
            <w:tcW w:w="8325" w:type="dxa"/>
            <w:tcMar>
              <w:top w:w="90" w:type="dxa"/>
              <w:left w:w="90" w:type="dxa"/>
              <w:bottom w:w="90" w:type="dxa"/>
              <w:right w:w="90" w:type="dxa"/>
            </w:tcMar>
            <w:vAlign w:val="top"/>
          </w:tcPr>
          <w:p>
            <w:pPr>
              <w:pStyle w:val="18"/>
              <w:rPr>
                <w:rFonts w:hint="default"/>
              </w:rPr>
            </w:pPr>
            <w:r>
              <w:rPr>
                <w:rFonts w:ascii="宋体" w:hAnsi="宋体" w:cs="宋体"/>
                <w:sz w:val="24"/>
              </w:rPr>
              <w:t>a）应遵循最小安装的原则，仅安装需要的组件和应用程序；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9" w:type="dxa"/>
            <w:tcMar>
              <w:top w:w="90" w:type="dxa"/>
              <w:left w:w="90" w:type="dxa"/>
              <w:bottom w:w="90" w:type="dxa"/>
              <w:right w:w="90" w:type="dxa"/>
            </w:tcMar>
            <w:vAlign w:val="top"/>
          </w:tcPr>
          <w:p>
            <w:pPr>
              <w:pStyle w:val="18"/>
              <w:jc w:val="center"/>
              <w:rPr>
                <w:rFonts w:hint="default"/>
              </w:rPr>
            </w:pPr>
            <w:r>
              <w:rPr>
                <w:rFonts w:ascii="宋体" w:hAnsi="宋体" w:cs="宋体"/>
                <w:sz w:val="24"/>
              </w:rPr>
              <w:t>17</w:t>
            </w:r>
          </w:p>
        </w:tc>
        <w:tc>
          <w:tcPr>
            <w:tcW w:w="804" w:type="dxa"/>
            <w:vMerge w:val="continue"/>
            <w:vAlign w:val="top"/>
          </w:tcPr>
          <w:p/>
        </w:tc>
        <w:tc>
          <w:tcPr>
            <w:tcW w:w="8325" w:type="dxa"/>
            <w:tcMar>
              <w:top w:w="90" w:type="dxa"/>
              <w:left w:w="90" w:type="dxa"/>
              <w:bottom w:w="90" w:type="dxa"/>
              <w:right w:w="90" w:type="dxa"/>
            </w:tcMar>
            <w:vAlign w:val="top"/>
          </w:tcPr>
          <w:p>
            <w:pPr>
              <w:pStyle w:val="18"/>
              <w:rPr>
                <w:rFonts w:hint="default"/>
              </w:rPr>
            </w:pPr>
            <w:r>
              <w:rPr>
                <w:rFonts w:ascii="宋体" w:hAnsi="宋体" w:cs="宋体"/>
                <w:sz w:val="24"/>
              </w:rPr>
              <w:t>b）应关闭不需要的系统服务、默认共享和高危端口；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9" w:type="dxa"/>
            <w:tcMar>
              <w:top w:w="90" w:type="dxa"/>
              <w:left w:w="90" w:type="dxa"/>
              <w:bottom w:w="90" w:type="dxa"/>
              <w:right w:w="90" w:type="dxa"/>
            </w:tcMar>
            <w:vAlign w:val="top"/>
          </w:tcPr>
          <w:p>
            <w:pPr>
              <w:pStyle w:val="18"/>
              <w:jc w:val="center"/>
              <w:rPr>
                <w:rFonts w:hint="default"/>
              </w:rPr>
            </w:pPr>
            <w:r>
              <w:rPr>
                <w:rFonts w:ascii="宋体" w:hAnsi="宋体" w:cs="宋体"/>
                <w:sz w:val="24"/>
              </w:rPr>
              <w:t>18</w:t>
            </w:r>
          </w:p>
        </w:tc>
        <w:tc>
          <w:tcPr>
            <w:tcW w:w="804" w:type="dxa"/>
            <w:vMerge w:val="continue"/>
            <w:vAlign w:val="top"/>
          </w:tcPr>
          <w:p/>
        </w:tc>
        <w:tc>
          <w:tcPr>
            <w:tcW w:w="8325" w:type="dxa"/>
            <w:tcMar>
              <w:top w:w="90" w:type="dxa"/>
              <w:left w:w="90" w:type="dxa"/>
              <w:bottom w:w="90" w:type="dxa"/>
              <w:right w:w="90" w:type="dxa"/>
            </w:tcMar>
            <w:vAlign w:val="top"/>
          </w:tcPr>
          <w:p>
            <w:pPr>
              <w:pStyle w:val="18"/>
              <w:rPr>
                <w:rFonts w:hint="default"/>
              </w:rPr>
            </w:pPr>
            <w:r>
              <w:rPr>
                <w:rFonts w:ascii="宋体" w:hAnsi="宋体" w:cs="宋体"/>
                <w:sz w:val="24"/>
              </w:rPr>
              <w:t>c）应通过设定终端接入方式或网络地址范围对通过网络进行管理的管理终端进行限制；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9" w:type="dxa"/>
            <w:tcMar>
              <w:top w:w="90" w:type="dxa"/>
              <w:left w:w="90" w:type="dxa"/>
              <w:bottom w:w="90" w:type="dxa"/>
              <w:right w:w="90" w:type="dxa"/>
            </w:tcMar>
            <w:vAlign w:val="top"/>
          </w:tcPr>
          <w:p>
            <w:pPr>
              <w:pStyle w:val="18"/>
              <w:jc w:val="center"/>
              <w:rPr>
                <w:rFonts w:hint="default"/>
              </w:rPr>
            </w:pPr>
            <w:r>
              <w:rPr>
                <w:rFonts w:ascii="宋体" w:hAnsi="宋体" w:cs="宋体"/>
                <w:sz w:val="24"/>
              </w:rPr>
              <w:t>19</w:t>
            </w:r>
          </w:p>
        </w:tc>
        <w:tc>
          <w:tcPr>
            <w:tcW w:w="804" w:type="dxa"/>
            <w:vMerge w:val="continue"/>
            <w:vAlign w:val="top"/>
          </w:tcPr>
          <w:p/>
        </w:tc>
        <w:tc>
          <w:tcPr>
            <w:tcW w:w="8325" w:type="dxa"/>
            <w:tcMar>
              <w:top w:w="90" w:type="dxa"/>
              <w:left w:w="90" w:type="dxa"/>
              <w:bottom w:w="90" w:type="dxa"/>
              <w:right w:w="90" w:type="dxa"/>
            </w:tcMar>
            <w:vAlign w:val="top"/>
          </w:tcPr>
          <w:p>
            <w:pPr>
              <w:pStyle w:val="18"/>
              <w:rPr>
                <w:rFonts w:hint="default"/>
              </w:rPr>
            </w:pPr>
            <w:r>
              <w:rPr>
                <w:rFonts w:ascii="宋体" w:hAnsi="宋体" w:cs="宋体"/>
                <w:sz w:val="24"/>
              </w:rPr>
              <w:t>d）应提供数据有效性检验功能，保证通过人机接口输入或通过通信接口输入的内容符合系统设定要求；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9" w:type="dxa"/>
            <w:tcMar>
              <w:top w:w="90" w:type="dxa"/>
              <w:left w:w="90" w:type="dxa"/>
              <w:bottom w:w="90" w:type="dxa"/>
              <w:right w:w="90" w:type="dxa"/>
            </w:tcMar>
            <w:vAlign w:val="top"/>
          </w:tcPr>
          <w:p>
            <w:pPr>
              <w:pStyle w:val="18"/>
              <w:jc w:val="center"/>
              <w:rPr>
                <w:rFonts w:hint="default"/>
              </w:rPr>
            </w:pPr>
            <w:r>
              <w:rPr>
                <w:rFonts w:ascii="宋体" w:hAnsi="宋体" w:cs="宋体"/>
                <w:sz w:val="24"/>
              </w:rPr>
              <w:t>20</w:t>
            </w:r>
          </w:p>
        </w:tc>
        <w:tc>
          <w:tcPr>
            <w:tcW w:w="804" w:type="dxa"/>
            <w:vMerge w:val="continue"/>
            <w:vAlign w:val="top"/>
          </w:tcPr>
          <w:p/>
        </w:tc>
        <w:tc>
          <w:tcPr>
            <w:tcW w:w="8325" w:type="dxa"/>
            <w:tcMar>
              <w:top w:w="90" w:type="dxa"/>
              <w:left w:w="90" w:type="dxa"/>
              <w:bottom w:w="90" w:type="dxa"/>
              <w:right w:w="90" w:type="dxa"/>
            </w:tcMar>
            <w:vAlign w:val="top"/>
          </w:tcPr>
          <w:p>
            <w:pPr>
              <w:pStyle w:val="18"/>
              <w:rPr>
                <w:rFonts w:hint="default"/>
              </w:rPr>
            </w:pPr>
            <w:r>
              <w:rPr>
                <w:rFonts w:ascii="宋体" w:hAnsi="宋体" w:cs="宋体"/>
                <w:sz w:val="24"/>
              </w:rPr>
              <w:t>e）应能发现可能存在的已知漏洞，并在经过充分测试评估后，及时修补漏洞；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9" w:type="dxa"/>
            <w:tcMar>
              <w:top w:w="90" w:type="dxa"/>
              <w:left w:w="90" w:type="dxa"/>
              <w:bottom w:w="90" w:type="dxa"/>
              <w:right w:w="90" w:type="dxa"/>
            </w:tcMar>
            <w:vAlign w:val="top"/>
          </w:tcPr>
          <w:p>
            <w:pPr>
              <w:pStyle w:val="18"/>
              <w:jc w:val="center"/>
              <w:rPr>
                <w:rFonts w:hint="default"/>
              </w:rPr>
            </w:pPr>
            <w:r>
              <w:rPr>
                <w:rFonts w:ascii="宋体" w:hAnsi="宋体" w:cs="宋体"/>
                <w:sz w:val="24"/>
              </w:rPr>
              <w:t>21</w:t>
            </w:r>
          </w:p>
        </w:tc>
        <w:tc>
          <w:tcPr>
            <w:tcW w:w="804" w:type="dxa"/>
            <w:vMerge w:val="continue"/>
            <w:vAlign w:val="top"/>
          </w:tcPr>
          <w:p/>
        </w:tc>
        <w:tc>
          <w:tcPr>
            <w:tcW w:w="8325" w:type="dxa"/>
            <w:tcMar>
              <w:top w:w="90" w:type="dxa"/>
              <w:left w:w="90" w:type="dxa"/>
              <w:bottom w:w="90" w:type="dxa"/>
              <w:right w:w="90" w:type="dxa"/>
            </w:tcMar>
            <w:vAlign w:val="top"/>
          </w:tcPr>
          <w:p>
            <w:pPr>
              <w:pStyle w:val="18"/>
              <w:rPr>
                <w:rFonts w:hint="default"/>
              </w:rPr>
            </w:pPr>
            <w:r>
              <w:rPr>
                <w:rFonts w:ascii="宋体" w:hAnsi="宋体" w:cs="宋体"/>
                <w:sz w:val="24"/>
              </w:rPr>
              <w:t>f）应能够检测到对重要节点进行入侵的行为，并在发生严重入侵事件时提供报警。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9" w:type="dxa"/>
            <w:tcMar>
              <w:top w:w="90" w:type="dxa"/>
              <w:left w:w="90" w:type="dxa"/>
              <w:bottom w:w="90" w:type="dxa"/>
              <w:right w:w="90" w:type="dxa"/>
            </w:tcMar>
            <w:vAlign w:val="top"/>
          </w:tcPr>
          <w:p>
            <w:pPr>
              <w:pStyle w:val="18"/>
              <w:jc w:val="center"/>
              <w:rPr>
                <w:rFonts w:hint="default"/>
              </w:rPr>
            </w:pPr>
            <w:r>
              <w:rPr>
                <w:rFonts w:ascii="宋体" w:hAnsi="宋体" w:cs="宋体"/>
                <w:sz w:val="24"/>
              </w:rPr>
              <w:t>22</w:t>
            </w:r>
          </w:p>
        </w:tc>
        <w:tc>
          <w:tcPr>
            <w:tcW w:w="804" w:type="dxa"/>
            <w:tcMar>
              <w:top w:w="90" w:type="dxa"/>
              <w:left w:w="90" w:type="dxa"/>
              <w:bottom w:w="90" w:type="dxa"/>
              <w:right w:w="90" w:type="dxa"/>
            </w:tcMar>
            <w:vAlign w:val="top"/>
          </w:tcPr>
          <w:p>
            <w:pPr>
              <w:pStyle w:val="18"/>
              <w:jc w:val="center"/>
              <w:rPr>
                <w:rFonts w:hint="default"/>
              </w:rPr>
            </w:pPr>
            <w:r>
              <w:rPr>
                <w:rFonts w:ascii="宋体" w:hAnsi="宋体" w:cs="宋体"/>
                <w:sz w:val="24"/>
              </w:rPr>
              <w:t>恶意代码防范</w:t>
            </w:r>
          </w:p>
        </w:tc>
        <w:tc>
          <w:tcPr>
            <w:tcW w:w="8325" w:type="dxa"/>
            <w:tcMar>
              <w:top w:w="90" w:type="dxa"/>
              <w:left w:w="90" w:type="dxa"/>
              <w:bottom w:w="90" w:type="dxa"/>
              <w:right w:w="90" w:type="dxa"/>
            </w:tcMar>
            <w:vAlign w:val="top"/>
          </w:tcPr>
          <w:p>
            <w:pPr>
              <w:pStyle w:val="18"/>
              <w:rPr>
                <w:rFonts w:hint="default"/>
              </w:rPr>
            </w:pPr>
            <w:r>
              <w:rPr>
                <w:rFonts w:ascii="宋体" w:hAnsi="宋体" w:cs="宋体"/>
                <w:sz w:val="24"/>
              </w:rPr>
              <w:t>a）应采用免受恶意代码攻击的技术措施或主动免疫可信验证机制及时识别入侵和病毒行为，并将其有效阻断。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9" w:type="dxa"/>
            <w:tcMar>
              <w:top w:w="90" w:type="dxa"/>
              <w:left w:w="90" w:type="dxa"/>
              <w:bottom w:w="90" w:type="dxa"/>
              <w:right w:w="90" w:type="dxa"/>
            </w:tcMar>
            <w:vAlign w:val="top"/>
          </w:tcPr>
          <w:p>
            <w:pPr>
              <w:pStyle w:val="18"/>
              <w:jc w:val="center"/>
              <w:rPr>
                <w:rFonts w:hint="default"/>
              </w:rPr>
            </w:pPr>
            <w:r>
              <w:rPr>
                <w:rFonts w:ascii="宋体" w:hAnsi="宋体" w:cs="宋体"/>
                <w:sz w:val="24"/>
              </w:rPr>
              <w:t>23</w:t>
            </w:r>
          </w:p>
        </w:tc>
        <w:tc>
          <w:tcPr>
            <w:tcW w:w="804" w:type="dxa"/>
            <w:tcMar>
              <w:top w:w="90" w:type="dxa"/>
              <w:left w:w="90" w:type="dxa"/>
              <w:bottom w:w="90" w:type="dxa"/>
              <w:right w:w="90" w:type="dxa"/>
            </w:tcMar>
            <w:vAlign w:val="top"/>
          </w:tcPr>
          <w:p>
            <w:pPr>
              <w:pStyle w:val="18"/>
              <w:jc w:val="center"/>
              <w:rPr>
                <w:rFonts w:hint="default"/>
              </w:rPr>
            </w:pPr>
            <w:r>
              <w:rPr>
                <w:rFonts w:ascii="宋体" w:hAnsi="宋体" w:cs="宋体"/>
                <w:sz w:val="24"/>
              </w:rPr>
              <w:t>可信验证</w:t>
            </w:r>
          </w:p>
        </w:tc>
        <w:tc>
          <w:tcPr>
            <w:tcW w:w="8325" w:type="dxa"/>
            <w:tcMar>
              <w:top w:w="90" w:type="dxa"/>
              <w:left w:w="90" w:type="dxa"/>
              <w:bottom w:w="90" w:type="dxa"/>
              <w:right w:w="90" w:type="dxa"/>
            </w:tcMar>
            <w:vAlign w:val="top"/>
          </w:tcPr>
          <w:p>
            <w:pPr>
              <w:pStyle w:val="18"/>
              <w:rPr>
                <w:rFonts w:hint="default"/>
              </w:rPr>
            </w:pPr>
            <w:r>
              <w:rPr>
                <w:rFonts w:ascii="宋体" w:hAnsi="宋体" w:cs="宋体"/>
                <w:sz w:val="24"/>
              </w:rPr>
              <w:t>a）可基于可信根对计算设备的系统引导程序、系统程序、重要配置参数和应用程序等进行可信验证，并在应用程序的关键执行环节进行动态可信验证，在检测到其可信性受到破坏后进行报警，并将验证结果形成审计记录送至安全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9" w:type="dxa"/>
            <w:tcMar>
              <w:top w:w="90" w:type="dxa"/>
              <w:left w:w="90" w:type="dxa"/>
              <w:bottom w:w="90" w:type="dxa"/>
              <w:right w:w="90" w:type="dxa"/>
            </w:tcMar>
            <w:vAlign w:val="top"/>
          </w:tcPr>
          <w:p>
            <w:pPr>
              <w:pStyle w:val="18"/>
              <w:jc w:val="center"/>
              <w:rPr>
                <w:rFonts w:hint="default"/>
              </w:rPr>
            </w:pPr>
            <w:r>
              <w:rPr>
                <w:rFonts w:ascii="宋体" w:hAnsi="宋体" w:cs="宋体"/>
                <w:sz w:val="24"/>
              </w:rPr>
              <w:t>24</w:t>
            </w:r>
          </w:p>
        </w:tc>
        <w:tc>
          <w:tcPr>
            <w:tcW w:w="804" w:type="dxa"/>
            <w:vMerge w:val="restart"/>
            <w:tcMar>
              <w:top w:w="90" w:type="dxa"/>
              <w:left w:w="90" w:type="dxa"/>
              <w:bottom w:w="90" w:type="dxa"/>
              <w:right w:w="90" w:type="dxa"/>
            </w:tcMar>
            <w:vAlign w:val="top"/>
          </w:tcPr>
          <w:p>
            <w:pPr>
              <w:pStyle w:val="18"/>
              <w:jc w:val="center"/>
              <w:rPr>
                <w:rFonts w:hint="default"/>
              </w:rPr>
            </w:pPr>
            <w:r>
              <w:rPr>
                <w:rFonts w:ascii="宋体" w:hAnsi="宋体" w:cs="宋体"/>
                <w:sz w:val="24"/>
              </w:rPr>
              <w:t>数据完整性</w:t>
            </w:r>
          </w:p>
        </w:tc>
        <w:tc>
          <w:tcPr>
            <w:tcW w:w="8325" w:type="dxa"/>
            <w:tcMar>
              <w:top w:w="90" w:type="dxa"/>
              <w:left w:w="90" w:type="dxa"/>
              <w:bottom w:w="90" w:type="dxa"/>
              <w:right w:w="90" w:type="dxa"/>
            </w:tcMar>
            <w:vAlign w:val="top"/>
          </w:tcPr>
          <w:p>
            <w:pPr>
              <w:pStyle w:val="18"/>
              <w:rPr>
                <w:rFonts w:hint="default"/>
              </w:rPr>
            </w:pPr>
            <w:r>
              <w:rPr>
                <w:rFonts w:ascii="宋体" w:hAnsi="宋体" w:cs="宋体"/>
                <w:sz w:val="24"/>
              </w:rPr>
              <w:t>a）应采用校验技术或密码技术保证重要数据在传输过程中的完整性，包括但不限于鉴别数据、重要业务数据、重要审计数据、重要配置数据、重要视频数据和重要个人信息等；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9" w:type="dxa"/>
            <w:tcMar>
              <w:top w:w="90" w:type="dxa"/>
              <w:left w:w="90" w:type="dxa"/>
              <w:bottom w:w="90" w:type="dxa"/>
              <w:right w:w="90" w:type="dxa"/>
            </w:tcMar>
            <w:vAlign w:val="top"/>
          </w:tcPr>
          <w:p>
            <w:pPr>
              <w:pStyle w:val="18"/>
              <w:jc w:val="center"/>
              <w:rPr>
                <w:rFonts w:hint="default"/>
              </w:rPr>
            </w:pPr>
            <w:r>
              <w:rPr>
                <w:rFonts w:ascii="宋体" w:hAnsi="宋体" w:cs="宋体"/>
                <w:sz w:val="24"/>
              </w:rPr>
              <w:t>25</w:t>
            </w:r>
          </w:p>
        </w:tc>
        <w:tc>
          <w:tcPr>
            <w:tcW w:w="804" w:type="dxa"/>
            <w:vMerge w:val="continue"/>
            <w:vAlign w:val="top"/>
          </w:tcPr>
          <w:p/>
        </w:tc>
        <w:tc>
          <w:tcPr>
            <w:tcW w:w="8325" w:type="dxa"/>
            <w:tcMar>
              <w:top w:w="90" w:type="dxa"/>
              <w:left w:w="90" w:type="dxa"/>
              <w:bottom w:w="90" w:type="dxa"/>
              <w:right w:w="90" w:type="dxa"/>
            </w:tcMar>
            <w:vAlign w:val="top"/>
          </w:tcPr>
          <w:p>
            <w:pPr>
              <w:pStyle w:val="18"/>
              <w:rPr>
                <w:rFonts w:hint="default"/>
              </w:rPr>
            </w:pPr>
            <w:r>
              <w:rPr>
                <w:rFonts w:ascii="宋体" w:hAnsi="宋体" w:cs="宋体"/>
                <w:sz w:val="24"/>
              </w:rPr>
              <w:t>b）应采用校验技术或密码技术保证重要数据在存储过程中的完整性，包括但不限于鉴别数据、重要业务数据、重要审计数据、重要配置数据、重要视频数据和重要个人信息等。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9" w:type="dxa"/>
            <w:tcMar>
              <w:top w:w="90" w:type="dxa"/>
              <w:left w:w="90" w:type="dxa"/>
              <w:bottom w:w="90" w:type="dxa"/>
              <w:right w:w="90" w:type="dxa"/>
            </w:tcMar>
            <w:vAlign w:val="top"/>
          </w:tcPr>
          <w:p>
            <w:pPr>
              <w:pStyle w:val="18"/>
              <w:jc w:val="center"/>
              <w:rPr>
                <w:rFonts w:hint="default"/>
              </w:rPr>
            </w:pPr>
            <w:r>
              <w:rPr>
                <w:rFonts w:ascii="宋体" w:hAnsi="宋体" w:cs="宋体"/>
                <w:sz w:val="24"/>
              </w:rPr>
              <w:t>26</w:t>
            </w:r>
          </w:p>
        </w:tc>
        <w:tc>
          <w:tcPr>
            <w:tcW w:w="804" w:type="dxa"/>
            <w:vMerge w:val="restart"/>
            <w:tcMar>
              <w:top w:w="90" w:type="dxa"/>
              <w:left w:w="90" w:type="dxa"/>
              <w:bottom w:w="90" w:type="dxa"/>
              <w:right w:w="90" w:type="dxa"/>
            </w:tcMar>
            <w:vAlign w:val="top"/>
          </w:tcPr>
          <w:p>
            <w:pPr>
              <w:pStyle w:val="18"/>
              <w:jc w:val="center"/>
              <w:rPr>
                <w:rFonts w:hint="default"/>
              </w:rPr>
            </w:pPr>
            <w:r>
              <w:rPr>
                <w:rFonts w:ascii="宋体" w:hAnsi="宋体" w:cs="宋体"/>
                <w:sz w:val="24"/>
              </w:rPr>
              <w:t>数据保密性</w:t>
            </w:r>
          </w:p>
        </w:tc>
        <w:tc>
          <w:tcPr>
            <w:tcW w:w="8325" w:type="dxa"/>
            <w:tcMar>
              <w:top w:w="90" w:type="dxa"/>
              <w:left w:w="90" w:type="dxa"/>
              <w:bottom w:w="90" w:type="dxa"/>
              <w:right w:w="90" w:type="dxa"/>
            </w:tcMar>
            <w:vAlign w:val="top"/>
          </w:tcPr>
          <w:p>
            <w:pPr>
              <w:pStyle w:val="18"/>
              <w:rPr>
                <w:rFonts w:hint="default"/>
              </w:rPr>
            </w:pPr>
            <w:r>
              <w:rPr>
                <w:rFonts w:ascii="宋体" w:hAnsi="宋体" w:cs="宋体"/>
                <w:sz w:val="24"/>
              </w:rPr>
              <w:t>a）应采用密码技术保证重要数据在传输过程中的保密性，包括但不限于鉴别数据、重要业务数据和重要个人信息等；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9" w:type="dxa"/>
            <w:tcMar>
              <w:top w:w="90" w:type="dxa"/>
              <w:left w:w="90" w:type="dxa"/>
              <w:bottom w:w="90" w:type="dxa"/>
              <w:right w:w="90" w:type="dxa"/>
            </w:tcMar>
            <w:vAlign w:val="top"/>
          </w:tcPr>
          <w:p>
            <w:pPr>
              <w:pStyle w:val="18"/>
              <w:jc w:val="center"/>
              <w:rPr>
                <w:rFonts w:hint="default"/>
              </w:rPr>
            </w:pPr>
            <w:r>
              <w:rPr>
                <w:rFonts w:ascii="宋体" w:hAnsi="宋体" w:cs="宋体"/>
                <w:sz w:val="24"/>
              </w:rPr>
              <w:t>27</w:t>
            </w:r>
          </w:p>
        </w:tc>
        <w:tc>
          <w:tcPr>
            <w:tcW w:w="804" w:type="dxa"/>
            <w:vMerge w:val="continue"/>
            <w:vAlign w:val="top"/>
          </w:tcPr>
          <w:p/>
        </w:tc>
        <w:tc>
          <w:tcPr>
            <w:tcW w:w="8325" w:type="dxa"/>
            <w:tcMar>
              <w:top w:w="90" w:type="dxa"/>
              <w:left w:w="90" w:type="dxa"/>
              <w:bottom w:w="90" w:type="dxa"/>
              <w:right w:w="90" w:type="dxa"/>
            </w:tcMar>
            <w:vAlign w:val="top"/>
          </w:tcPr>
          <w:p>
            <w:pPr>
              <w:pStyle w:val="18"/>
              <w:rPr>
                <w:rFonts w:hint="default"/>
              </w:rPr>
            </w:pPr>
            <w:r>
              <w:rPr>
                <w:rFonts w:ascii="宋体" w:hAnsi="宋体" w:cs="宋体"/>
                <w:sz w:val="24"/>
              </w:rPr>
              <w:t>b）应采用密码技术保证重要数据在存储过程中的保密性，包括但不限于鉴别数据、重要业务数据和重要个人信息等。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9" w:type="dxa"/>
            <w:tcMar>
              <w:top w:w="90" w:type="dxa"/>
              <w:left w:w="90" w:type="dxa"/>
              <w:bottom w:w="90" w:type="dxa"/>
              <w:right w:w="90" w:type="dxa"/>
            </w:tcMar>
            <w:vAlign w:val="top"/>
          </w:tcPr>
          <w:p>
            <w:pPr>
              <w:pStyle w:val="18"/>
              <w:jc w:val="center"/>
              <w:rPr>
                <w:rFonts w:hint="default"/>
              </w:rPr>
            </w:pPr>
            <w:r>
              <w:rPr>
                <w:rFonts w:ascii="宋体" w:hAnsi="宋体" w:cs="宋体"/>
                <w:sz w:val="24"/>
              </w:rPr>
              <w:t>28</w:t>
            </w:r>
          </w:p>
        </w:tc>
        <w:tc>
          <w:tcPr>
            <w:tcW w:w="804" w:type="dxa"/>
            <w:vMerge w:val="restart"/>
            <w:tcMar>
              <w:top w:w="90" w:type="dxa"/>
              <w:left w:w="90" w:type="dxa"/>
              <w:bottom w:w="90" w:type="dxa"/>
              <w:right w:w="90" w:type="dxa"/>
            </w:tcMar>
            <w:vAlign w:val="top"/>
          </w:tcPr>
          <w:p>
            <w:pPr>
              <w:pStyle w:val="18"/>
              <w:jc w:val="center"/>
              <w:rPr>
                <w:rFonts w:hint="default"/>
              </w:rPr>
            </w:pPr>
            <w:r>
              <w:rPr>
                <w:rFonts w:ascii="宋体" w:hAnsi="宋体" w:cs="宋体"/>
                <w:sz w:val="24"/>
              </w:rPr>
              <w:t>数据备份恢复</w:t>
            </w:r>
          </w:p>
        </w:tc>
        <w:tc>
          <w:tcPr>
            <w:tcW w:w="8325" w:type="dxa"/>
            <w:tcMar>
              <w:top w:w="90" w:type="dxa"/>
              <w:left w:w="90" w:type="dxa"/>
              <w:bottom w:w="90" w:type="dxa"/>
              <w:right w:w="90" w:type="dxa"/>
            </w:tcMar>
            <w:vAlign w:val="top"/>
          </w:tcPr>
          <w:p>
            <w:pPr>
              <w:pStyle w:val="18"/>
              <w:rPr>
                <w:rFonts w:hint="default"/>
              </w:rPr>
            </w:pPr>
            <w:r>
              <w:rPr>
                <w:rFonts w:ascii="宋体" w:hAnsi="宋体" w:cs="宋体"/>
                <w:sz w:val="24"/>
              </w:rPr>
              <w:t>a）应提供重要数据的本地数据备份与恢复功能；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9" w:type="dxa"/>
            <w:tcMar>
              <w:top w:w="90" w:type="dxa"/>
              <w:left w:w="90" w:type="dxa"/>
              <w:bottom w:w="90" w:type="dxa"/>
              <w:right w:w="90" w:type="dxa"/>
            </w:tcMar>
            <w:vAlign w:val="top"/>
          </w:tcPr>
          <w:p>
            <w:pPr>
              <w:pStyle w:val="18"/>
              <w:jc w:val="center"/>
              <w:rPr>
                <w:rFonts w:hint="default"/>
              </w:rPr>
            </w:pPr>
            <w:r>
              <w:rPr>
                <w:rFonts w:ascii="宋体" w:hAnsi="宋体" w:cs="宋体"/>
                <w:sz w:val="24"/>
              </w:rPr>
              <w:t>29</w:t>
            </w:r>
          </w:p>
        </w:tc>
        <w:tc>
          <w:tcPr>
            <w:tcW w:w="804" w:type="dxa"/>
            <w:vMerge w:val="continue"/>
            <w:vAlign w:val="top"/>
          </w:tcPr>
          <w:p/>
        </w:tc>
        <w:tc>
          <w:tcPr>
            <w:tcW w:w="8325" w:type="dxa"/>
            <w:tcMar>
              <w:top w:w="90" w:type="dxa"/>
              <w:left w:w="90" w:type="dxa"/>
              <w:bottom w:w="90" w:type="dxa"/>
              <w:right w:w="90" w:type="dxa"/>
            </w:tcMar>
            <w:vAlign w:val="top"/>
          </w:tcPr>
          <w:p>
            <w:pPr>
              <w:pStyle w:val="18"/>
              <w:rPr>
                <w:rFonts w:hint="default"/>
              </w:rPr>
            </w:pPr>
            <w:r>
              <w:rPr>
                <w:rFonts w:ascii="宋体" w:hAnsi="宋体" w:cs="宋体"/>
                <w:sz w:val="24"/>
              </w:rPr>
              <w:t>b）应提供异地实时备份功能，利用通信网络将重要数据实时备份至备份场地；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9" w:type="dxa"/>
            <w:tcMar>
              <w:top w:w="90" w:type="dxa"/>
              <w:left w:w="90" w:type="dxa"/>
              <w:bottom w:w="90" w:type="dxa"/>
              <w:right w:w="90" w:type="dxa"/>
            </w:tcMar>
            <w:vAlign w:val="top"/>
          </w:tcPr>
          <w:p>
            <w:pPr>
              <w:pStyle w:val="18"/>
              <w:jc w:val="center"/>
              <w:rPr>
                <w:rFonts w:hint="default"/>
              </w:rPr>
            </w:pPr>
            <w:r>
              <w:rPr>
                <w:rFonts w:ascii="宋体" w:hAnsi="宋体" w:cs="宋体"/>
                <w:sz w:val="24"/>
              </w:rPr>
              <w:t>30</w:t>
            </w:r>
          </w:p>
        </w:tc>
        <w:tc>
          <w:tcPr>
            <w:tcW w:w="804" w:type="dxa"/>
            <w:vMerge w:val="continue"/>
            <w:vAlign w:val="top"/>
          </w:tcPr>
          <w:p/>
        </w:tc>
        <w:tc>
          <w:tcPr>
            <w:tcW w:w="8325" w:type="dxa"/>
            <w:tcMar>
              <w:top w:w="90" w:type="dxa"/>
              <w:left w:w="90" w:type="dxa"/>
              <w:bottom w:w="90" w:type="dxa"/>
              <w:right w:w="90" w:type="dxa"/>
            </w:tcMar>
            <w:vAlign w:val="top"/>
          </w:tcPr>
          <w:p>
            <w:pPr>
              <w:pStyle w:val="18"/>
              <w:rPr>
                <w:rFonts w:hint="default"/>
              </w:rPr>
            </w:pPr>
            <w:r>
              <w:rPr>
                <w:rFonts w:ascii="宋体" w:hAnsi="宋体" w:cs="宋体"/>
                <w:sz w:val="24"/>
              </w:rPr>
              <w:t>c）应提供重要数据处理系统的热冗余，保证系统的高可用性。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9" w:type="dxa"/>
            <w:tcMar>
              <w:top w:w="90" w:type="dxa"/>
              <w:left w:w="90" w:type="dxa"/>
              <w:bottom w:w="90" w:type="dxa"/>
              <w:right w:w="90" w:type="dxa"/>
            </w:tcMar>
            <w:vAlign w:val="top"/>
          </w:tcPr>
          <w:p>
            <w:pPr>
              <w:pStyle w:val="18"/>
              <w:jc w:val="center"/>
              <w:rPr>
                <w:rFonts w:hint="default"/>
              </w:rPr>
            </w:pPr>
            <w:r>
              <w:rPr>
                <w:rFonts w:ascii="宋体" w:hAnsi="宋体" w:cs="宋体"/>
                <w:sz w:val="24"/>
              </w:rPr>
              <w:t>31</w:t>
            </w:r>
          </w:p>
        </w:tc>
        <w:tc>
          <w:tcPr>
            <w:tcW w:w="804" w:type="dxa"/>
            <w:vMerge w:val="restart"/>
            <w:tcMar>
              <w:top w:w="90" w:type="dxa"/>
              <w:left w:w="90" w:type="dxa"/>
              <w:bottom w:w="90" w:type="dxa"/>
              <w:right w:w="90" w:type="dxa"/>
            </w:tcMar>
            <w:vAlign w:val="top"/>
          </w:tcPr>
          <w:p>
            <w:pPr>
              <w:pStyle w:val="18"/>
              <w:jc w:val="center"/>
              <w:rPr>
                <w:rFonts w:hint="default"/>
              </w:rPr>
            </w:pPr>
            <w:r>
              <w:rPr>
                <w:rFonts w:ascii="宋体" w:hAnsi="宋体" w:cs="宋体"/>
                <w:sz w:val="24"/>
              </w:rPr>
              <w:t>剩余信息保护</w:t>
            </w:r>
          </w:p>
        </w:tc>
        <w:tc>
          <w:tcPr>
            <w:tcW w:w="8325" w:type="dxa"/>
            <w:tcMar>
              <w:top w:w="90" w:type="dxa"/>
              <w:left w:w="90" w:type="dxa"/>
              <w:bottom w:w="90" w:type="dxa"/>
              <w:right w:w="90" w:type="dxa"/>
            </w:tcMar>
            <w:vAlign w:val="top"/>
          </w:tcPr>
          <w:p>
            <w:pPr>
              <w:pStyle w:val="18"/>
              <w:rPr>
                <w:rFonts w:hint="default"/>
              </w:rPr>
            </w:pPr>
            <w:r>
              <w:rPr>
                <w:rFonts w:ascii="宋体" w:hAnsi="宋体" w:cs="宋体"/>
                <w:sz w:val="24"/>
              </w:rPr>
              <w:t>a）应保证鉴别信息所在的存储空间被释放或重新分配前得到完全清除；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9" w:type="dxa"/>
            <w:tcMar>
              <w:top w:w="90" w:type="dxa"/>
              <w:left w:w="90" w:type="dxa"/>
              <w:bottom w:w="90" w:type="dxa"/>
              <w:right w:w="90" w:type="dxa"/>
            </w:tcMar>
            <w:vAlign w:val="top"/>
          </w:tcPr>
          <w:p>
            <w:pPr>
              <w:pStyle w:val="18"/>
              <w:jc w:val="center"/>
              <w:rPr>
                <w:rFonts w:hint="default"/>
              </w:rPr>
            </w:pPr>
            <w:r>
              <w:rPr>
                <w:rFonts w:ascii="宋体" w:hAnsi="宋体" w:cs="宋体"/>
                <w:sz w:val="24"/>
              </w:rPr>
              <w:t>32</w:t>
            </w:r>
          </w:p>
        </w:tc>
        <w:tc>
          <w:tcPr>
            <w:tcW w:w="804" w:type="dxa"/>
            <w:vMerge w:val="continue"/>
            <w:vAlign w:val="top"/>
          </w:tcPr>
          <w:p/>
        </w:tc>
        <w:tc>
          <w:tcPr>
            <w:tcW w:w="8325" w:type="dxa"/>
            <w:tcMar>
              <w:top w:w="90" w:type="dxa"/>
              <w:left w:w="90" w:type="dxa"/>
              <w:bottom w:w="90" w:type="dxa"/>
              <w:right w:w="90" w:type="dxa"/>
            </w:tcMar>
            <w:vAlign w:val="top"/>
          </w:tcPr>
          <w:p>
            <w:pPr>
              <w:pStyle w:val="18"/>
              <w:rPr>
                <w:rFonts w:hint="default"/>
              </w:rPr>
            </w:pPr>
            <w:r>
              <w:rPr>
                <w:rFonts w:ascii="宋体" w:hAnsi="宋体" w:cs="宋体"/>
                <w:sz w:val="24"/>
              </w:rPr>
              <w:t>b）应保证存有敏感数据的存储空间被释放或重新分配前得到完全清除。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9" w:type="dxa"/>
            <w:tcMar>
              <w:top w:w="90" w:type="dxa"/>
              <w:left w:w="90" w:type="dxa"/>
              <w:bottom w:w="90" w:type="dxa"/>
              <w:right w:w="90" w:type="dxa"/>
            </w:tcMar>
            <w:vAlign w:val="top"/>
          </w:tcPr>
          <w:p>
            <w:pPr>
              <w:pStyle w:val="18"/>
              <w:jc w:val="center"/>
              <w:rPr>
                <w:rFonts w:hint="default"/>
              </w:rPr>
            </w:pPr>
            <w:r>
              <w:rPr>
                <w:rFonts w:ascii="宋体" w:hAnsi="宋体" w:cs="宋体"/>
                <w:sz w:val="24"/>
              </w:rPr>
              <w:t>33</w:t>
            </w:r>
          </w:p>
        </w:tc>
        <w:tc>
          <w:tcPr>
            <w:tcW w:w="804" w:type="dxa"/>
            <w:vMerge w:val="restart"/>
            <w:tcMar>
              <w:top w:w="90" w:type="dxa"/>
              <w:left w:w="90" w:type="dxa"/>
              <w:bottom w:w="90" w:type="dxa"/>
              <w:right w:w="90" w:type="dxa"/>
            </w:tcMar>
            <w:vAlign w:val="top"/>
          </w:tcPr>
          <w:p>
            <w:pPr>
              <w:pStyle w:val="18"/>
              <w:jc w:val="center"/>
              <w:rPr>
                <w:rFonts w:hint="default"/>
              </w:rPr>
            </w:pPr>
            <w:r>
              <w:rPr>
                <w:rFonts w:ascii="宋体" w:hAnsi="宋体" w:cs="宋体"/>
                <w:sz w:val="24"/>
              </w:rPr>
              <w:t>个人信息保护</w:t>
            </w:r>
          </w:p>
        </w:tc>
        <w:tc>
          <w:tcPr>
            <w:tcW w:w="8325" w:type="dxa"/>
            <w:tcMar>
              <w:top w:w="90" w:type="dxa"/>
              <w:left w:w="90" w:type="dxa"/>
              <w:bottom w:w="90" w:type="dxa"/>
              <w:right w:w="90" w:type="dxa"/>
            </w:tcMar>
            <w:vAlign w:val="top"/>
          </w:tcPr>
          <w:p>
            <w:pPr>
              <w:pStyle w:val="18"/>
              <w:rPr>
                <w:rFonts w:hint="default"/>
              </w:rPr>
            </w:pPr>
            <w:r>
              <w:rPr>
                <w:rFonts w:ascii="宋体" w:hAnsi="宋体" w:cs="宋体"/>
                <w:sz w:val="24"/>
              </w:rPr>
              <w:t>a）应仅采集和保存业务必需的用户个人信息；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9" w:type="dxa"/>
            <w:tcMar>
              <w:top w:w="90" w:type="dxa"/>
              <w:left w:w="90" w:type="dxa"/>
              <w:bottom w:w="90" w:type="dxa"/>
              <w:right w:w="90" w:type="dxa"/>
            </w:tcMar>
            <w:vAlign w:val="top"/>
          </w:tcPr>
          <w:p>
            <w:pPr>
              <w:pStyle w:val="18"/>
              <w:jc w:val="center"/>
              <w:rPr>
                <w:rFonts w:hint="default"/>
              </w:rPr>
            </w:pPr>
            <w:r>
              <w:rPr>
                <w:rFonts w:ascii="宋体" w:hAnsi="宋体" w:cs="宋体"/>
                <w:sz w:val="24"/>
              </w:rPr>
              <w:t>34</w:t>
            </w:r>
          </w:p>
        </w:tc>
        <w:tc>
          <w:tcPr>
            <w:tcW w:w="804" w:type="dxa"/>
            <w:vMerge w:val="continue"/>
            <w:vAlign w:val="top"/>
          </w:tcPr>
          <w:p/>
        </w:tc>
        <w:tc>
          <w:tcPr>
            <w:tcW w:w="8325" w:type="dxa"/>
            <w:tcMar>
              <w:top w:w="90" w:type="dxa"/>
              <w:left w:w="90" w:type="dxa"/>
              <w:bottom w:w="90" w:type="dxa"/>
              <w:right w:w="90" w:type="dxa"/>
            </w:tcMar>
            <w:vAlign w:val="top"/>
          </w:tcPr>
          <w:p>
            <w:pPr>
              <w:pStyle w:val="18"/>
              <w:rPr>
                <w:rFonts w:hint="default"/>
              </w:rPr>
            </w:pPr>
            <w:r>
              <w:rPr>
                <w:rFonts w:ascii="宋体" w:hAnsi="宋体" w:cs="宋体"/>
                <w:sz w:val="24"/>
              </w:rPr>
              <w:t>b）应禁止未授权访问和非法使用用户个人信息。</w:t>
            </w:r>
          </w:p>
        </w:tc>
      </w:tr>
    </w:tbl>
    <w:p>
      <w:pPr>
        <w:pStyle w:val="18"/>
        <w:ind w:firstLine="482" w:firstLineChars="200"/>
        <w:jc w:val="both"/>
        <w:rPr>
          <w:rFonts w:hint="default"/>
        </w:rPr>
      </w:pPr>
      <w:r>
        <w:rPr>
          <w:rFonts w:ascii="宋体" w:hAnsi="宋体" w:cs="宋体"/>
          <w:b/>
          <w:sz w:val="24"/>
          <w:shd w:val="clear" w:color="auto" w:fill="FFFFFF"/>
        </w:rPr>
        <w:t>2.5.2.测评实施</w:t>
      </w:r>
    </w:p>
    <w:p>
      <w:pPr>
        <w:pStyle w:val="18"/>
        <w:ind w:firstLine="480"/>
        <w:jc w:val="both"/>
        <w:rPr>
          <w:rFonts w:hint="default"/>
        </w:rPr>
      </w:pPr>
      <w:r>
        <w:rPr>
          <w:rFonts w:ascii="宋体" w:hAnsi="宋体" w:cs="宋体"/>
          <w:sz w:val="24"/>
          <w:shd w:val="clear" w:color="auto" w:fill="FFFFFF"/>
        </w:rPr>
        <w:t>安全计算环境测评中，应主要关注服务器操作系统、数据库管理系统、网络设备、安全设备以及应用系统在身份鉴别、访问控制、安全审计等方面的安全保护能力，以安全配置核查和人工验证为主，文档查阅和分析为辅来获取证据（如相关措施的部署和配置情况）。</w:t>
      </w:r>
    </w:p>
    <w:p>
      <w:pPr>
        <w:pStyle w:val="18"/>
        <w:ind w:firstLine="482" w:firstLineChars="200"/>
        <w:jc w:val="both"/>
        <w:outlineLvl w:val="5"/>
        <w:rPr>
          <w:rFonts w:hint="default"/>
        </w:rPr>
      </w:pPr>
      <w:r>
        <w:rPr>
          <w:rFonts w:ascii="宋体" w:hAnsi="宋体" w:cs="宋体"/>
          <w:b/>
          <w:sz w:val="24"/>
          <w:shd w:val="clear" w:color="auto" w:fill="FFFFFF"/>
        </w:rPr>
        <w:t>2.6.安全管理中心测评</w:t>
      </w:r>
    </w:p>
    <w:p>
      <w:pPr>
        <w:pStyle w:val="18"/>
        <w:ind w:firstLine="482" w:firstLineChars="200"/>
        <w:jc w:val="both"/>
        <w:rPr>
          <w:rFonts w:hint="default"/>
        </w:rPr>
      </w:pPr>
      <w:r>
        <w:rPr>
          <w:rFonts w:ascii="宋体" w:hAnsi="宋体" w:cs="宋体"/>
          <w:b/>
          <w:sz w:val="24"/>
          <w:shd w:val="clear" w:color="auto" w:fill="FFFFFF"/>
        </w:rPr>
        <w:t>2.6.1.测评指标</w:t>
      </w:r>
    </w:p>
    <w:p>
      <w:pPr>
        <w:pStyle w:val="18"/>
        <w:jc w:val="center"/>
        <w:rPr>
          <w:rFonts w:hint="default"/>
        </w:rPr>
      </w:pPr>
      <w:r>
        <w:rPr>
          <w:rFonts w:ascii="宋体" w:hAnsi="宋体" w:cs="宋体"/>
          <w:sz w:val="24"/>
          <w:shd w:val="clear" w:color="auto" w:fill="FFFFFF"/>
        </w:rPr>
        <w:t>安全管理中心（通用要求）测评指标</w:t>
      </w:r>
    </w:p>
    <w:tbl>
      <w:tblPr>
        <w:tblStyle w:val="17"/>
        <w:tblW w:w="9638" w:type="dxa"/>
        <w:jc w:val="center"/>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541"/>
        <w:gridCol w:w="753"/>
        <w:gridCol w:w="834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41" w:type="dxa"/>
            <w:tcBorders>
              <w:top w:val="single" w:color="000000" w:sz="4" w:space="0"/>
              <w:left w:val="single" w:color="000000" w:sz="4" w:space="0"/>
              <w:bottom w:val="single" w:color="000000" w:sz="4" w:space="0"/>
              <w:right w:val="single" w:color="000000" w:sz="4" w:space="0"/>
            </w:tcBorders>
            <w:shd w:val="clear" w:color="auto" w:fill="BFBFBF"/>
            <w:tcMar>
              <w:top w:w="90" w:type="dxa"/>
              <w:left w:w="90" w:type="dxa"/>
              <w:bottom w:w="90" w:type="dxa"/>
              <w:right w:w="90" w:type="dxa"/>
            </w:tcMar>
            <w:vAlign w:val="top"/>
          </w:tcPr>
          <w:p>
            <w:pPr>
              <w:pStyle w:val="18"/>
              <w:jc w:val="center"/>
              <w:rPr>
                <w:rFonts w:hint="default"/>
              </w:rPr>
            </w:pPr>
            <w:r>
              <w:rPr>
                <w:rFonts w:ascii="宋体" w:hAnsi="宋体" w:cs="宋体"/>
                <w:b/>
                <w:sz w:val="24"/>
              </w:rPr>
              <w:t>序号</w:t>
            </w:r>
          </w:p>
        </w:tc>
        <w:tc>
          <w:tcPr>
            <w:tcW w:w="753" w:type="dxa"/>
            <w:tcBorders>
              <w:top w:val="single" w:color="000000" w:sz="4" w:space="0"/>
              <w:left w:val="nil"/>
              <w:bottom w:val="single" w:color="000000" w:sz="4" w:space="0"/>
              <w:right w:val="single" w:color="000000" w:sz="4" w:space="0"/>
            </w:tcBorders>
            <w:shd w:val="clear" w:color="auto" w:fill="BFBFBF"/>
            <w:tcMar>
              <w:top w:w="90" w:type="dxa"/>
              <w:left w:w="90" w:type="dxa"/>
              <w:bottom w:w="90" w:type="dxa"/>
              <w:right w:w="90" w:type="dxa"/>
            </w:tcMar>
            <w:vAlign w:val="top"/>
          </w:tcPr>
          <w:p>
            <w:pPr>
              <w:pStyle w:val="18"/>
              <w:jc w:val="center"/>
              <w:rPr>
                <w:rFonts w:hint="default"/>
              </w:rPr>
            </w:pPr>
            <w:r>
              <w:rPr>
                <w:rFonts w:ascii="宋体" w:hAnsi="宋体" w:cs="宋体"/>
                <w:b/>
                <w:sz w:val="24"/>
              </w:rPr>
              <w:t>安全子类</w:t>
            </w:r>
          </w:p>
        </w:tc>
        <w:tc>
          <w:tcPr>
            <w:tcW w:w="8344" w:type="dxa"/>
            <w:tcBorders>
              <w:top w:val="single" w:color="000000" w:sz="4" w:space="0"/>
              <w:left w:val="nil"/>
              <w:bottom w:val="single" w:color="000000" w:sz="4" w:space="0"/>
              <w:right w:val="single" w:color="000000" w:sz="4" w:space="0"/>
            </w:tcBorders>
            <w:shd w:val="clear" w:color="auto" w:fill="BFBFBF"/>
            <w:tcMar>
              <w:top w:w="90" w:type="dxa"/>
              <w:left w:w="90" w:type="dxa"/>
              <w:bottom w:w="90" w:type="dxa"/>
              <w:right w:w="90" w:type="dxa"/>
            </w:tcMar>
            <w:vAlign w:val="top"/>
          </w:tcPr>
          <w:p>
            <w:pPr>
              <w:pStyle w:val="18"/>
              <w:jc w:val="center"/>
              <w:rPr>
                <w:rFonts w:hint="default"/>
              </w:rPr>
            </w:pPr>
            <w:r>
              <w:rPr>
                <w:rFonts w:ascii="宋体" w:hAnsi="宋体" w:cs="宋体"/>
                <w:b/>
                <w:sz w:val="24"/>
              </w:rPr>
              <w:t>测评指标描述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41" w:type="dxa"/>
            <w:tcBorders>
              <w:top w:val="nil"/>
              <w:left w:val="single" w:color="000000" w:sz="4" w:space="0"/>
              <w:bottom w:val="single" w:color="000000" w:sz="4" w:space="0"/>
              <w:right w:val="single" w:color="000000" w:sz="4" w:space="0"/>
            </w:tcBorders>
            <w:tcMar>
              <w:top w:w="90" w:type="dxa"/>
              <w:left w:w="90" w:type="dxa"/>
              <w:bottom w:w="90" w:type="dxa"/>
              <w:right w:w="90" w:type="dxa"/>
            </w:tcMar>
            <w:vAlign w:val="top"/>
          </w:tcPr>
          <w:p>
            <w:pPr>
              <w:pStyle w:val="18"/>
              <w:jc w:val="center"/>
              <w:rPr>
                <w:rFonts w:hint="default"/>
              </w:rPr>
            </w:pPr>
            <w:r>
              <w:rPr>
                <w:rFonts w:ascii="宋体" w:hAnsi="宋体" w:cs="宋体"/>
                <w:sz w:val="24"/>
              </w:rPr>
              <w:t>1</w:t>
            </w:r>
          </w:p>
        </w:tc>
        <w:tc>
          <w:tcPr>
            <w:tcW w:w="753" w:type="dxa"/>
            <w:vMerge w:val="restart"/>
            <w:tcBorders>
              <w:top w:val="nil"/>
              <w:left w:val="nil"/>
              <w:bottom w:val="single" w:color="000000" w:sz="4" w:space="0"/>
              <w:right w:val="single" w:color="000000" w:sz="4" w:space="0"/>
            </w:tcBorders>
            <w:tcMar>
              <w:top w:w="90" w:type="dxa"/>
              <w:left w:w="90" w:type="dxa"/>
              <w:bottom w:w="90" w:type="dxa"/>
              <w:right w:w="90" w:type="dxa"/>
            </w:tcMar>
            <w:vAlign w:val="top"/>
          </w:tcPr>
          <w:p>
            <w:pPr>
              <w:pStyle w:val="18"/>
              <w:jc w:val="center"/>
              <w:rPr>
                <w:rFonts w:hint="default"/>
              </w:rPr>
            </w:pPr>
            <w:r>
              <w:rPr>
                <w:rFonts w:ascii="宋体" w:hAnsi="宋体" w:cs="宋体"/>
                <w:sz w:val="24"/>
              </w:rPr>
              <w:t>系统管理</w:t>
            </w:r>
          </w:p>
        </w:tc>
        <w:tc>
          <w:tcPr>
            <w:tcW w:w="8344" w:type="dxa"/>
            <w:tcBorders>
              <w:top w:val="nil"/>
              <w:left w:val="nil"/>
              <w:bottom w:val="single" w:color="000000" w:sz="4" w:space="0"/>
              <w:right w:val="single" w:color="000000" w:sz="4" w:space="0"/>
            </w:tcBorders>
            <w:tcMar>
              <w:top w:w="90" w:type="dxa"/>
              <w:left w:w="90" w:type="dxa"/>
              <w:bottom w:w="90" w:type="dxa"/>
              <w:right w:w="90" w:type="dxa"/>
            </w:tcMar>
            <w:vAlign w:val="top"/>
          </w:tcPr>
          <w:p>
            <w:pPr>
              <w:pStyle w:val="18"/>
              <w:rPr>
                <w:rFonts w:hint="default"/>
              </w:rPr>
            </w:pPr>
            <w:r>
              <w:rPr>
                <w:rFonts w:ascii="宋体" w:hAnsi="宋体" w:cs="宋体"/>
                <w:sz w:val="24"/>
              </w:rPr>
              <w:t>a）应对系统管理员进行身份鉴别，只允许其通过特定的命令或操作界面进行系统管理操作，并对这些操作进行审计；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41" w:type="dxa"/>
            <w:tcBorders>
              <w:top w:val="nil"/>
              <w:left w:val="single" w:color="000000" w:sz="4" w:space="0"/>
              <w:bottom w:val="single" w:color="000000" w:sz="4" w:space="0"/>
              <w:right w:val="single" w:color="000000" w:sz="4" w:space="0"/>
            </w:tcBorders>
            <w:tcMar>
              <w:top w:w="90" w:type="dxa"/>
              <w:left w:w="90" w:type="dxa"/>
              <w:bottom w:w="90" w:type="dxa"/>
              <w:right w:w="90" w:type="dxa"/>
            </w:tcMar>
            <w:vAlign w:val="top"/>
          </w:tcPr>
          <w:p>
            <w:pPr>
              <w:pStyle w:val="18"/>
              <w:jc w:val="center"/>
              <w:rPr>
                <w:rFonts w:hint="default"/>
              </w:rPr>
            </w:pPr>
            <w:r>
              <w:rPr>
                <w:rFonts w:ascii="宋体" w:hAnsi="宋体" w:cs="宋体"/>
                <w:sz w:val="24"/>
              </w:rPr>
              <w:t>2</w:t>
            </w:r>
          </w:p>
        </w:tc>
        <w:tc>
          <w:tcPr>
            <w:tcW w:w="753" w:type="dxa"/>
            <w:vMerge w:val="continue"/>
            <w:tcBorders>
              <w:top w:val="nil"/>
              <w:left w:val="nil"/>
              <w:bottom w:val="single" w:color="000000" w:sz="4" w:space="0"/>
              <w:right w:val="single" w:color="000000" w:sz="4" w:space="0"/>
            </w:tcBorders>
            <w:vAlign w:val="top"/>
          </w:tcPr>
          <w:p/>
        </w:tc>
        <w:tc>
          <w:tcPr>
            <w:tcW w:w="8344" w:type="dxa"/>
            <w:tcBorders>
              <w:top w:val="nil"/>
              <w:left w:val="nil"/>
              <w:bottom w:val="single" w:color="000000" w:sz="4" w:space="0"/>
              <w:right w:val="single" w:color="000000" w:sz="4" w:space="0"/>
            </w:tcBorders>
            <w:tcMar>
              <w:top w:w="90" w:type="dxa"/>
              <w:left w:w="90" w:type="dxa"/>
              <w:bottom w:w="90" w:type="dxa"/>
              <w:right w:w="90" w:type="dxa"/>
            </w:tcMar>
            <w:vAlign w:val="top"/>
          </w:tcPr>
          <w:p>
            <w:pPr>
              <w:pStyle w:val="18"/>
              <w:rPr>
                <w:rFonts w:hint="default"/>
              </w:rPr>
            </w:pPr>
            <w:r>
              <w:rPr>
                <w:rFonts w:ascii="宋体" w:hAnsi="宋体" w:cs="宋体"/>
                <w:sz w:val="24"/>
              </w:rPr>
              <w:t>b）应通过系统管理员对系统的资源和运行进行配置、控制和管理，包括用户身份、系统资源配置、系统加载和启动、系统运行的异常处理、数据和设备的备份与恢复等。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41" w:type="dxa"/>
            <w:tcBorders>
              <w:top w:val="nil"/>
              <w:left w:val="single" w:color="000000" w:sz="4" w:space="0"/>
              <w:bottom w:val="single" w:color="000000" w:sz="4" w:space="0"/>
              <w:right w:val="single" w:color="000000" w:sz="4" w:space="0"/>
            </w:tcBorders>
            <w:tcMar>
              <w:top w:w="90" w:type="dxa"/>
              <w:left w:w="90" w:type="dxa"/>
              <w:bottom w:w="90" w:type="dxa"/>
              <w:right w:w="90" w:type="dxa"/>
            </w:tcMar>
            <w:vAlign w:val="top"/>
          </w:tcPr>
          <w:p>
            <w:pPr>
              <w:pStyle w:val="18"/>
              <w:jc w:val="center"/>
              <w:rPr>
                <w:rFonts w:hint="default"/>
              </w:rPr>
            </w:pPr>
            <w:r>
              <w:rPr>
                <w:rFonts w:ascii="宋体" w:hAnsi="宋体" w:cs="宋体"/>
                <w:sz w:val="24"/>
              </w:rPr>
              <w:t>3</w:t>
            </w:r>
          </w:p>
        </w:tc>
        <w:tc>
          <w:tcPr>
            <w:tcW w:w="753" w:type="dxa"/>
            <w:vMerge w:val="restart"/>
            <w:tcBorders>
              <w:top w:val="nil"/>
              <w:left w:val="nil"/>
              <w:bottom w:val="single" w:color="000000" w:sz="4" w:space="0"/>
              <w:right w:val="single" w:color="000000" w:sz="4" w:space="0"/>
            </w:tcBorders>
            <w:tcMar>
              <w:top w:w="90" w:type="dxa"/>
              <w:left w:w="90" w:type="dxa"/>
              <w:bottom w:w="90" w:type="dxa"/>
              <w:right w:w="90" w:type="dxa"/>
            </w:tcMar>
            <w:vAlign w:val="top"/>
          </w:tcPr>
          <w:p>
            <w:pPr>
              <w:pStyle w:val="18"/>
              <w:jc w:val="center"/>
              <w:rPr>
                <w:rFonts w:hint="default"/>
              </w:rPr>
            </w:pPr>
            <w:r>
              <w:rPr>
                <w:rFonts w:ascii="宋体" w:hAnsi="宋体" w:cs="宋体"/>
                <w:sz w:val="24"/>
              </w:rPr>
              <w:t>审计管理</w:t>
            </w:r>
          </w:p>
        </w:tc>
        <w:tc>
          <w:tcPr>
            <w:tcW w:w="8344" w:type="dxa"/>
            <w:tcBorders>
              <w:top w:val="nil"/>
              <w:left w:val="nil"/>
              <w:bottom w:val="single" w:color="000000" w:sz="4" w:space="0"/>
              <w:right w:val="single" w:color="000000" w:sz="4" w:space="0"/>
            </w:tcBorders>
            <w:tcMar>
              <w:top w:w="90" w:type="dxa"/>
              <w:left w:w="90" w:type="dxa"/>
              <w:bottom w:w="90" w:type="dxa"/>
              <w:right w:w="90" w:type="dxa"/>
            </w:tcMar>
            <w:vAlign w:val="top"/>
          </w:tcPr>
          <w:p>
            <w:pPr>
              <w:pStyle w:val="18"/>
              <w:rPr>
                <w:rFonts w:hint="default"/>
              </w:rPr>
            </w:pPr>
            <w:r>
              <w:rPr>
                <w:rFonts w:ascii="宋体" w:hAnsi="宋体" w:cs="宋体"/>
                <w:sz w:val="24"/>
              </w:rPr>
              <w:t>a）应对审计管理员进行身份鉴别，只允许其通过特定的命令或操作界面进行安全审计操作，并对这些操作进行审计；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41" w:type="dxa"/>
            <w:tcBorders>
              <w:top w:val="nil"/>
              <w:left w:val="single" w:color="000000" w:sz="4" w:space="0"/>
              <w:bottom w:val="single" w:color="000000" w:sz="4" w:space="0"/>
              <w:right w:val="single" w:color="000000" w:sz="4" w:space="0"/>
            </w:tcBorders>
            <w:tcMar>
              <w:top w:w="90" w:type="dxa"/>
              <w:left w:w="90" w:type="dxa"/>
              <w:bottom w:w="90" w:type="dxa"/>
              <w:right w:w="90" w:type="dxa"/>
            </w:tcMar>
            <w:vAlign w:val="top"/>
          </w:tcPr>
          <w:p>
            <w:pPr>
              <w:pStyle w:val="18"/>
              <w:jc w:val="center"/>
              <w:rPr>
                <w:rFonts w:hint="default"/>
              </w:rPr>
            </w:pPr>
            <w:r>
              <w:rPr>
                <w:rFonts w:ascii="宋体" w:hAnsi="宋体" w:cs="宋体"/>
                <w:sz w:val="24"/>
              </w:rPr>
              <w:t>4</w:t>
            </w:r>
          </w:p>
        </w:tc>
        <w:tc>
          <w:tcPr>
            <w:tcW w:w="753" w:type="dxa"/>
            <w:vMerge w:val="continue"/>
            <w:tcBorders>
              <w:top w:val="nil"/>
              <w:left w:val="nil"/>
              <w:bottom w:val="single" w:color="000000" w:sz="4" w:space="0"/>
              <w:right w:val="single" w:color="000000" w:sz="4" w:space="0"/>
            </w:tcBorders>
            <w:vAlign w:val="top"/>
          </w:tcPr>
          <w:p/>
        </w:tc>
        <w:tc>
          <w:tcPr>
            <w:tcW w:w="8344" w:type="dxa"/>
            <w:tcBorders>
              <w:top w:val="nil"/>
              <w:left w:val="nil"/>
              <w:bottom w:val="single" w:color="000000" w:sz="4" w:space="0"/>
              <w:right w:val="single" w:color="000000" w:sz="4" w:space="0"/>
            </w:tcBorders>
            <w:tcMar>
              <w:top w:w="90" w:type="dxa"/>
              <w:left w:w="90" w:type="dxa"/>
              <w:bottom w:w="90" w:type="dxa"/>
              <w:right w:w="90" w:type="dxa"/>
            </w:tcMar>
            <w:vAlign w:val="top"/>
          </w:tcPr>
          <w:p>
            <w:pPr>
              <w:pStyle w:val="18"/>
              <w:rPr>
                <w:rFonts w:hint="default"/>
              </w:rPr>
            </w:pPr>
            <w:r>
              <w:rPr>
                <w:rFonts w:ascii="宋体" w:hAnsi="宋体" w:cs="宋体"/>
                <w:sz w:val="24"/>
              </w:rPr>
              <w:t>b）应通过审计管理员对审计记录应进行分析，并根据分析结果进行处理，包括根据安全审计策略对审计记录进行存储、管理和查询等。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41" w:type="dxa"/>
            <w:tcBorders>
              <w:top w:val="nil"/>
              <w:left w:val="single" w:color="000000" w:sz="4" w:space="0"/>
              <w:bottom w:val="single" w:color="000000" w:sz="4" w:space="0"/>
              <w:right w:val="single" w:color="000000" w:sz="4" w:space="0"/>
            </w:tcBorders>
            <w:tcMar>
              <w:top w:w="90" w:type="dxa"/>
              <w:left w:w="90" w:type="dxa"/>
              <w:bottom w:w="90" w:type="dxa"/>
              <w:right w:w="90" w:type="dxa"/>
            </w:tcMar>
            <w:vAlign w:val="top"/>
          </w:tcPr>
          <w:p>
            <w:pPr>
              <w:pStyle w:val="18"/>
              <w:jc w:val="center"/>
              <w:rPr>
                <w:rFonts w:hint="default"/>
              </w:rPr>
            </w:pPr>
            <w:r>
              <w:rPr>
                <w:rFonts w:ascii="宋体" w:hAnsi="宋体" w:cs="宋体"/>
                <w:sz w:val="24"/>
              </w:rPr>
              <w:t>5</w:t>
            </w:r>
          </w:p>
        </w:tc>
        <w:tc>
          <w:tcPr>
            <w:tcW w:w="753" w:type="dxa"/>
            <w:vMerge w:val="restart"/>
            <w:tcBorders>
              <w:top w:val="nil"/>
              <w:left w:val="nil"/>
              <w:bottom w:val="single" w:color="000000" w:sz="4" w:space="0"/>
              <w:right w:val="single" w:color="000000" w:sz="4" w:space="0"/>
            </w:tcBorders>
            <w:tcMar>
              <w:top w:w="90" w:type="dxa"/>
              <w:left w:w="90" w:type="dxa"/>
              <w:bottom w:w="90" w:type="dxa"/>
              <w:right w:w="90" w:type="dxa"/>
            </w:tcMar>
            <w:vAlign w:val="top"/>
          </w:tcPr>
          <w:p>
            <w:pPr>
              <w:pStyle w:val="18"/>
              <w:jc w:val="center"/>
              <w:rPr>
                <w:rFonts w:hint="default"/>
              </w:rPr>
            </w:pPr>
            <w:r>
              <w:rPr>
                <w:rFonts w:ascii="宋体" w:hAnsi="宋体" w:cs="宋体"/>
                <w:sz w:val="24"/>
              </w:rPr>
              <w:t>安全管理</w:t>
            </w:r>
          </w:p>
        </w:tc>
        <w:tc>
          <w:tcPr>
            <w:tcW w:w="8344" w:type="dxa"/>
            <w:tcBorders>
              <w:top w:val="nil"/>
              <w:left w:val="nil"/>
              <w:bottom w:val="single" w:color="000000" w:sz="4" w:space="0"/>
              <w:right w:val="single" w:color="000000" w:sz="4" w:space="0"/>
            </w:tcBorders>
            <w:tcMar>
              <w:top w:w="90" w:type="dxa"/>
              <w:left w:w="90" w:type="dxa"/>
              <w:bottom w:w="90" w:type="dxa"/>
              <w:right w:w="90" w:type="dxa"/>
            </w:tcMar>
            <w:vAlign w:val="top"/>
          </w:tcPr>
          <w:p>
            <w:pPr>
              <w:pStyle w:val="18"/>
              <w:rPr>
                <w:rFonts w:hint="default"/>
              </w:rPr>
            </w:pPr>
            <w:r>
              <w:rPr>
                <w:rFonts w:ascii="宋体" w:hAnsi="宋体" w:cs="宋体"/>
                <w:sz w:val="24"/>
              </w:rPr>
              <w:t>a）应对安全管理员进行身份鉴别，只允许其通过特定的命令或操作界面进行安全管理操作，并对这些操作进行审计；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41" w:type="dxa"/>
            <w:tcBorders>
              <w:top w:val="nil"/>
              <w:left w:val="single" w:color="000000" w:sz="4" w:space="0"/>
              <w:bottom w:val="single" w:color="000000" w:sz="4" w:space="0"/>
              <w:right w:val="single" w:color="000000" w:sz="4" w:space="0"/>
            </w:tcBorders>
            <w:tcMar>
              <w:top w:w="90" w:type="dxa"/>
              <w:left w:w="90" w:type="dxa"/>
              <w:bottom w:w="90" w:type="dxa"/>
              <w:right w:w="90" w:type="dxa"/>
            </w:tcMar>
            <w:vAlign w:val="top"/>
          </w:tcPr>
          <w:p>
            <w:pPr>
              <w:pStyle w:val="18"/>
              <w:jc w:val="center"/>
              <w:rPr>
                <w:rFonts w:hint="default"/>
              </w:rPr>
            </w:pPr>
            <w:r>
              <w:rPr>
                <w:rFonts w:ascii="宋体" w:hAnsi="宋体" w:cs="宋体"/>
                <w:sz w:val="24"/>
              </w:rPr>
              <w:t>6</w:t>
            </w:r>
          </w:p>
        </w:tc>
        <w:tc>
          <w:tcPr>
            <w:tcW w:w="753" w:type="dxa"/>
            <w:vMerge w:val="continue"/>
            <w:tcBorders>
              <w:top w:val="nil"/>
              <w:left w:val="nil"/>
              <w:bottom w:val="single" w:color="000000" w:sz="4" w:space="0"/>
              <w:right w:val="single" w:color="000000" w:sz="4" w:space="0"/>
            </w:tcBorders>
            <w:vAlign w:val="top"/>
          </w:tcPr>
          <w:p/>
        </w:tc>
        <w:tc>
          <w:tcPr>
            <w:tcW w:w="8344" w:type="dxa"/>
            <w:tcBorders>
              <w:top w:val="nil"/>
              <w:left w:val="nil"/>
              <w:bottom w:val="single" w:color="000000" w:sz="4" w:space="0"/>
              <w:right w:val="single" w:color="000000" w:sz="4" w:space="0"/>
            </w:tcBorders>
            <w:tcMar>
              <w:top w:w="90" w:type="dxa"/>
              <w:left w:w="90" w:type="dxa"/>
              <w:bottom w:w="90" w:type="dxa"/>
              <w:right w:w="90" w:type="dxa"/>
            </w:tcMar>
            <w:vAlign w:val="top"/>
          </w:tcPr>
          <w:p>
            <w:pPr>
              <w:pStyle w:val="18"/>
              <w:rPr>
                <w:rFonts w:hint="default"/>
              </w:rPr>
            </w:pPr>
            <w:r>
              <w:rPr>
                <w:rFonts w:ascii="宋体" w:hAnsi="宋体" w:cs="宋体"/>
                <w:sz w:val="24"/>
              </w:rPr>
              <w:t>b）应通过安全管理员对系统中的安全策略进行配置，包括安全参数的设置，主体、客体进行统一安全标记，对主体进行授权，配置可信验证策略等。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41" w:type="dxa"/>
            <w:tcBorders>
              <w:top w:val="nil"/>
              <w:left w:val="single" w:color="000000" w:sz="4" w:space="0"/>
              <w:bottom w:val="single" w:color="000000" w:sz="4" w:space="0"/>
              <w:right w:val="single" w:color="000000" w:sz="4" w:space="0"/>
            </w:tcBorders>
            <w:tcMar>
              <w:top w:w="90" w:type="dxa"/>
              <w:left w:w="90" w:type="dxa"/>
              <w:bottom w:w="90" w:type="dxa"/>
              <w:right w:w="90" w:type="dxa"/>
            </w:tcMar>
            <w:vAlign w:val="top"/>
          </w:tcPr>
          <w:p>
            <w:pPr>
              <w:pStyle w:val="18"/>
              <w:jc w:val="center"/>
              <w:rPr>
                <w:rFonts w:hint="default"/>
              </w:rPr>
            </w:pPr>
            <w:r>
              <w:rPr>
                <w:rFonts w:ascii="宋体" w:hAnsi="宋体" w:cs="宋体"/>
                <w:sz w:val="24"/>
              </w:rPr>
              <w:t>7</w:t>
            </w:r>
          </w:p>
        </w:tc>
        <w:tc>
          <w:tcPr>
            <w:tcW w:w="753" w:type="dxa"/>
            <w:vMerge w:val="restart"/>
            <w:tcBorders>
              <w:top w:val="nil"/>
              <w:left w:val="nil"/>
              <w:bottom w:val="single" w:color="000000" w:sz="4" w:space="0"/>
              <w:right w:val="single" w:color="000000" w:sz="4" w:space="0"/>
            </w:tcBorders>
            <w:tcMar>
              <w:top w:w="90" w:type="dxa"/>
              <w:left w:w="90" w:type="dxa"/>
              <w:bottom w:w="90" w:type="dxa"/>
              <w:right w:w="90" w:type="dxa"/>
            </w:tcMar>
            <w:vAlign w:val="top"/>
          </w:tcPr>
          <w:p>
            <w:pPr>
              <w:pStyle w:val="18"/>
              <w:jc w:val="center"/>
              <w:rPr>
                <w:rFonts w:hint="default"/>
              </w:rPr>
            </w:pPr>
            <w:r>
              <w:rPr>
                <w:rFonts w:ascii="宋体" w:hAnsi="宋体" w:cs="宋体"/>
                <w:sz w:val="24"/>
              </w:rPr>
              <w:t>集中管控</w:t>
            </w:r>
          </w:p>
        </w:tc>
        <w:tc>
          <w:tcPr>
            <w:tcW w:w="8344" w:type="dxa"/>
            <w:tcBorders>
              <w:top w:val="nil"/>
              <w:left w:val="nil"/>
              <w:bottom w:val="single" w:color="000000" w:sz="4" w:space="0"/>
              <w:right w:val="single" w:color="000000" w:sz="4" w:space="0"/>
            </w:tcBorders>
            <w:tcMar>
              <w:top w:w="90" w:type="dxa"/>
              <w:left w:w="90" w:type="dxa"/>
              <w:bottom w:w="90" w:type="dxa"/>
              <w:right w:w="90" w:type="dxa"/>
            </w:tcMar>
            <w:vAlign w:val="top"/>
          </w:tcPr>
          <w:p>
            <w:pPr>
              <w:pStyle w:val="18"/>
              <w:rPr>
                <w:rFonts w:hint="default"/>
              </w:rPr>
            </w:pPr>
            <w:r>
              <w:rPr>
                <w:rFonts w:ascii="宋体" w:hAnsi="宋体" w:cs="宋体"/>
                <w:sz w:val="24"/>
              </w:rPr>
              <w:t>a）应划分出特定的管理区域，对分布在网络中的安全设备或安全组件进行管控；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41" w:type="dxa"/>
            <w:tcBorders>
              <w:top w:val="nil"/>
              <w:left w:val="single" w:color="000000" w:sz="4" w:space="0"/>
              <w:bottom w:val="single" w:color="000000" w:sz="4" w:space="0"/>
              <w:right w:val="single" w:color="000000" w:sz="4" w:space="0"/>
            </w:tcBorders>
            <w:tcMar>
              <w:top w:w="90" w:type="dxa"/>
              <w:left w:w="90" w:type="dxa"/>
              <w:bottom w:w="90" w:type="dxa"/>
              <w:right w:w="90" w:type="dxa"/>
            </w:tcMar>
            <w:vAlign w:val="top"/>
          </w:tcPr>
          <w:p>
            <w:pPr>
              <w:pStyle w:val="18"/>
              <w:jc w:val="center"/>
              <w:rPr>
                <w:rFonts w:hint="default"/>
              </w:rPr>
            </w:pPr>
            <w:r>
              <w:rPr>
                <w:rFonts w:ascii="宋体" w:hAnsi="宋体" w:cs="宋体"/>
                <w:sz w:val="24"/>
              </w:rPr>
              <w:t>8</w:t>
            </w:r>
          </w:p>
        </w:tc>
        <w:tc>
          <w:tcPr>
            <w:tcW w:w="753" w:type="dxa"/>
            <w:vMerge w:val="continue"/>
            <w:tcBorders>
              <w:top w:val="nil"/>
              <w:left w:val="nil"/>
              <w:bottom w:val="single" w:color="000000" w:sz="4" w:space="0"/>
              <w:right w:val="single" w:color="000000" w:sz="4" w:space="0"/>
            </w:tcBorders>
            <w:vAlign w:val="top"/>
          </w:tcPr>
          <w:p/>
        </w:tc>
        <w:tc>
          <w:tcPr>
            <w:tcW w:w="8344" w:type="dxa"/>
            <w:tcBorders>
              <w:top w:val="nil"/>
              <w:left w:val="nil"/>
              <w:bottom w:val="single" w:color="000000" w:sz="4" w:space="0"/>
              <w:right w:val="single" w:color="000000" w:sz="4" w:space="0"/>
            </w:tcBorders>
            <w:tcMar>
              <w:top w:w="90" w:type="dxa"/>
              <w:left w:w="90" w:type="dxa"/>
              <w:bottom w:w="90" w:type="dxa"/>
              <w:right w:w="90" w:type="dxa"/>
            </w:tcMar>
            <w:vAlign w:val="top"/>
          </w:tcPr>
          <w:p>
            <w:pPr>
              <w:pStyle w:val="18"/>
              <w:rPr>
                <w:rFonts w:hint="default"/>
              </w:rPr>
            </w:pPr>
            <w:r>
              <w:rPr>
                <w:rFonts w:ascii="宋体" w:hAnsi="宋体" w:cs="宋体"/>
                <w:sz w:val="24"/>
              </w:rPr>
              <w:t>b）应能够建立一条安全的信息传输路径，对网络中的安全设备或安全组件进行管理；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41" w:type="dxa"/>
            <w:tcBorders>
              <w:top w:val="nil"/>
              <w:left w:val="single" w:color="000000" w:sz="4" w:space="0"/>
              <w:bottom w:val="single" w:color="000000" w:sz="4" w:space="0"/>
              <w:right w:val="single" w:color="000000" w:sz="4" w:space="0"/>
            </w:tcBorders>
            <w:tcMar>
              <w:top w:w="90" w:type="dxa"/>
              <w:left w:w="90" w:type="dxa"/>
              <w:bottom w:w="90" w:type="dxa"/>
              <w:right w:w="90" w:type="dxa"/>
            </w:tcMar>
            <w:vAlign w:val="top"/>
          </w:tcPr>
          <w:p>
            <w:pPr>
              <w:pStyle w:val="18"/>
              <w:jc w:val="center"/>
              <w:rPr>
                <w:rFonts w:hint="default"/>
              </w:rPr>
            </w:pPr>
            <w:r>
              <w:rPr>
                <w:rFonts w:ascii="宋体" w:hAnsi="宋体" w:cs="宋体"/>
                <w:sz w:val="24"/>
              </w:rPr>
              <w:t>9</w:t>
            </w:r>
          </w:p>
        </w:tc>
        <w:tc>
          <w:tcPr>
            <w:tcW w:w="753" w:type="dxa"/>
            <w:vMerge w:val="continue"/>
            <w:tcBorders>
              <w:top w:val="nil"/>
              <w:left w:val="nil"/>
              <w:bottom w:val="single" w:color="000000" w:sz="4" w:space="0"/>
              <w:right w:val="single" w:color="000000" w:sz="4" w:space="0"/>
            </w:tcBorders>
            <w:vAlign w:val="top"/>
          </w:tcPr>
          <w:p/>
        </w:tc>
        <w:tc>
          <w:tcPr>
            <w:tcW w:w="8344" w:type="dxa"/>
            <w:tcBorders>
              <w:top w:val="nil"/>
              <w:left w:val="nil"/>
              <w:bottom w:val="single" w:color="000000" w:sz="4" w:space="0"/>
              <w:right w:val="single" w:color="000000" w:sz="4" w:space="0"/>
            </w:tcBorders>
            <w:tcMar>
              <w:top w:w="90" w:type="dxa"/>
              <w:left w:w="90" w:type="dxa"/>
              <w:bottom w:w="90" w:type="dxa"/>
              <w:right w:w="90" w:type="dxa"/>
            </w:tcMar>
            <w:vAlign w:val="top"/>
          </w:tcPr>
          <w:p>
            <w:pPr>
              <w:pStyle w:val="18"/>
              <w:rPr>
                <w:rFonts w:hint="default"/>
              </w:rPr>
            </w:pPr>
            <w:r>
              <w:rPr>
                <w:rFonts w:ascii="宋体" w:hAnsi="宋体" w:cs="宋体"/>
                <w:sz w:val="24"/>
              </w:rPr>
              <w:t>c）应对网络链路、安全设备、网络设备和服务器等的运行状况进行集中监测；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41" w:type="dxa"/>
            <w:tcBorders>
              <w:top w:val="nil"/>
              <w:left w:val="single" w:color="000000" w:sz="4" w:space="0"/>
              <w:bottom w:val="single" w:color="000000" w:sz="4" w:space="0"/>
              <w:right w:val="single" w:color="000000" w:sz="4" w:space="0"/>
            </w:tcBorders>
            <w:tcMar>
              <w:top w:w="90" w:type="dxa"/>
              <w:left w:w="90" w:type="dxa"/>
              <w:bottom w:w="90" w:type="dxa"/>
              <w:right w:w="90" w:type="dxa"/>
            </w:tcMar>
            <w:vAlign w:val="top"/>
          </w:tcPr>
          <w:p>
            <w:pPr>
              <w:pStyle w:val="18"/>
              <w:jc w:val="center"/>
              <w:rPr>
                <w:rFonts w:hint="default"/>
              </w:rPr>
            </w:pPr>
            <w:r>
              <w:rPr>
                <w:rFonts w:ascii="宋体" w:hAnsi="宋体" w:cs="宋体"/>
                <w:sz w:val="24"/>
              </w:rPr>
              <w:t>10</w:t>
            </w:r>
          </w:p>
        </w:tc>
        <w:tc>
          <w:tcPr>
            <w:tcW w:w="753" w:type="dxa"/>
            <w:vMerge w:val="continue"/>
            <w:tcBorders>
              <w:top w:val="nil"/>
              <w:left w:val="nil"/>
              <w:bottom w:val="single" w:color="000000" w:sz="4" w:space="0"/>
              <w:right w:val="single" w:color="000000" w:sz="4" w:space="0"/>
            </w:tcBorders>
            <w:vAlign w:val="top"/>
          </w:tcPr>
          <w:p/>
        </w:tc>
        <w:tc>
          <w:tcPr>
            <w:tcW w:w="8344" w:type="dxa"/>
            <w:tcBorders>
              <w:top w:val="nil"/>
              <w:left w:val="nil"/>
              <w:bottom w:val="single" w:color="000000" w:sz="4" w:space="0"/>
              <w:right w:val="single" w:color="000000" w:sz="4" w:space="0"/>
            </w:tcBorders>
            <w:tcMar>
              <w:top w:w="90" w:type="dxa"/>
              <w:left w:w="90" w:type="dxa"/>
              <w:bottom w:w="90" w:type="dxa"/>
              <w:right w:w="90" w:type="dxa"/>
            </w:tcMar>
            <w:vAlign w:val="top"/>
          </w:tcPr>
          <w:p>
            <w:pPr>
              <w:pStyle w:val="18"/>
              <w:rPr>
                <w:rFonts w:hint="default"/>
              </w:rPr>
            </w:pPr>
            <w:r>
              <w:rPr>
                <w:rFonts w:ascii="宋体" w:hAnsi="宋体" w:cs="宋体"/>
                <w:sz w:val="24"/>
              </w:rPr>
              <w:t>d）应对分散在各个设备上的审计数据进行收集汇总和集中分析，并保证审计记录的留存时间符合法律法规要求；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41" w:type="dxa"/>
            <w:tcBorders>
              <w:top w:val="nil"/>
              <w:left w:val="single" w:color="000000" w:sz="4" w:space="0"/>
              <w:bottom w:val="single" w:color="000000" w:sz="4" w:space="0"/>
              <w:right w:val="single" w:color="000000" w:sz="4" w:space="0"/>
            </w:tcBorders>
            <w:tcMar>
              <w:top w:w="90" w:type="dxa"/>
              <w:left w:w="90" w:type="dxa"/>
              <w:bottom w:w="90" w:type="dxa"/>
              <w:right w:w="90" w:type="dxa"/>
            </w:tcMar>
            <w:vAlign w:val="top"/>
          </w:tcPr>
          <w:p>
            <w:pPr>
              <w:pStyle w:val="18"/>
              <w:jc w:val="center"/>
              <w:rPr>
                <w:rFonts w:hint="default"/>
              </w:rPr>
            </w:pPr>
            <w:r>
              <w:rPr>
                <w:rFonts w:ascii="宋体" w:hAnsi="宋体" w:cs="宋体"/>
                <w:sz w:val="24"/>
              </w:rPr>
              <w:t>11</w:t>
            </w:r>
          </w:p>
        </w:tc>
        <w:tc>
          <w:tcPr>
            <w:tcW w:w="753" w:type="dxa"/>
            <w:vMerge w:val="continue"/>
            <w:tcBorders>
              <w:top w:val="nil"/>
              <w:left w:val="nil"/>
              <w:bottom w:val="single" w:color="000000" w:sz="4" w:space="0"/>
              <w:right w:val="single" w:color="000000" w:sz="4" w:space="0"/>
            </w:tcBorders>
            <w:vAlign w:val="top"/>
          </w:tcPr>
          <w:p/>
        </w:tc>
        <w:tc>
          <w:tcPr>
            <w:tcW w:w="8344" w:type="dxa"/>
            <w:tcBorders>
              <w:top w:val="nil"/>
              <w:left w:val="nil"/>
              <w:bottom w:val="single" w:color="000000" w:sz="4" w:space="0"/>
              <w:right w:val="single" w:color="000000" w:sz="4" w:space="0"/>
            </w:tcBorders>
            <w:tcMar>
              <w:top w:w="90" w:type="dxa"/>
              <w:left w:w="90" w:type="dxa"/>
              <w:bottom w:w="90" w:type="dxa"/>
              <w:right w:w="90" w:type="dxa"/>
            </w:tcMar>
            <w:vAlign w:val="top"/>
          </w:tcPr>
          <w:p>
            <w:pPr>
              <w:pStyle w:val="18"/>
              <w:rPr>
                <w:rFonts w:hint="default"/>
              </w:rPr>
            </w:pPr>
            <w:r>
              <w:rPr>
                <w:rFonts w:ascii="宋体" w:hAnsi="宋体" w:cs="宋体"/>
                <w:sz w:val="24"/>
              </w:rPr>
              <w:t>e）应对安全策略、恶意代码、补丁升级等安全相关事项进行集中管理；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41" w:type="dxa"/>
            <w:tcBorders>
              <w:top w:val="nil"/>
              <w:left w:val="single" w:color="000000" w:sz="4" w:space="0"/>
              <w:bottom w:val="single" w:color="000000" w:sz="4" w:space="0"/>
              <w:right w:val="single" w:color="000000" w:sz="4" w:space="0"/>
            </w:tcBorders>
            <w:tcMar>
              <w:top w:w="90" w:type="dxa"/>
              <w:left w:w="90" w:type="dxa"/>
              <w:bottom w:w="90" w:type="dxa"/>
              <w:right w:w="90" w:type="dxa"/>
            </w:tcMar>
            <w:vAlign w:val="top"/>
          </w:tcPr>
          <w:p>
            <w:pPr>
              <w:pStyle w:val="18"/>
              <w:jc w:val="center"/>
              <w:rPr>
                <w:rFonts w:hint="default"/>
              </w:rPr>
            </w:pPr>
            <w:r>
              <w:rPr>
                <w:rFonts w:ascii="宋体" w:hAnsi="宋体" w:cs="宋体"/>
                <w:sz w:val="24"/>
              </w:rPr>
              <w:t>12</w:t>
            </w:r>
          </w:p>
        </w:tc>
        <w:tc>
          <w:tcPr>
            <w:tcW w:w="753" w:type="dxa"/>
            <w:vMerge w:val="continue"/>
            <w:tcBorders>
              <w:top w:val="nil"/>
              <w:left w:val="nil"/>
              <w:bottom w:val="single" w:color="000000" w:sz="4" w:space="0"/>
              <w:right w:val="single" w:color="000000" w:sz="4" w:space="0"/>
            </w:tcBorders>
            <w:vAlign w:val="top"/>
          </w:tcPr>
          <w:p/>
        </w:tc>
        <w:tc>
          <w:tcPr>
            <w:tcW w:w="8344" w:type="dxa"/>
            <w:tcBorders>
              <w:top w:val="nil"/>
              <w:left w:val="nil"/>
              <w:bottom w:val="single" w:color="000000" w:sz="4" w:space="0"/>
              <w:right w:val="single" w:color="000000" w:sz="4" w:space="0"/>
            </w:tcBorders>
            <w:tcMar>
              <w:top w:w="90" w:type="dxa"/>
              <w:left w:w="90" w:type="dxa"/>
              <w:bottom w:w="90" w:type="dxa"/>
              <w:right w:w="90" w:type="dxa"/>
            </w:tcMar>
            <w:vAlign w:val="top"/>
          </w:tcPr>
          <w:p>
            <w:pPr>
              <w:pStyle w:val="18"/>
              <w:rPr>
                <w:rFonts w:hint="default"/>
              </w:rPr>
            </w:pPr>
            <w:r>
              <w:rPr>
                <w:rFonts w:ascii="宋体" w:hAnsi="宋体" w:cs="宋体"/>
                <w:sz w:val="24"/>
              </w:rPr>
              <w:t>f）应能对网络中发生的各类安全事件进行识别、报警和分析。</w:t>
            </w:r>
          </w:p>
        </w:tc>
      </w:tr>
    </w:tbl>
    <w:p>
      <w:pPr>
        <w:pStyle w:val="18"/>
        <w:ind w:firstLine="482" w:firstLineChars="200"/>
        <w:jc w:val="both"/>
        <w:rPr>
          <w:rFonts w:hint="default"/>
        </w:rPr>
      </w:pPr>
      <w:r>
        <w:rPr>
          <w:rFonts w:ascii="宋体" w:hAnsi="宋体" w:cs="宋体"/>
          <w:b/>
          <w:sz w:val="24"/>
          <w:shd w:val="clear" w:color="auto" w:fill="FFFFFF"/>
        </w:rPr>
        <w:t>2.6.2.测评实施</w:t>
      </w:r>
    </w:p>
    <w:p>
      <w:pPr>
        <w:pStyle w:val="18"/>
        <w:ind w:firstLine="480"/>
        <w:jc w:val="both"/>
        <w:rPr>
          <w:rFonts w:hint="default"/>
        </w:rPr>
      </w:pPr>
      <w:r>
        <w:rPr>
          <w:rFonts w:ascii="宋体" w:hAnsi="宋体" w:cs="宋体"/>
          <w:sz w:val="24"/>
          <w:shd w:val="clear" w:color="auto" w:fill="FFFFFF"/>
        </w:rPr>
        <w:t>安全管理中心测评中，以安全配置核查和人工验证为主，文档查阅和分析为辅来获取证据（如相关措施的部署和配置情况），用于评测系统的安全保护能力。</w:t>
      </w:r>
    </w:p>
    <w:p>
      <w:pPr>
        <w:pStyle w:val="18"/>
        <w:ind w:firstLine="482" w:firstLineChars="200"/>
        <w:jc w:val="both"/>
        <w:outlineLvl w:val="5"/>
        <w:rPr>
          <w:rFonts w:hint="default"/>
        </w:rPr>
      </w:pPr>
      <w:r>
        <w:rPr>
          <w:rFonts w:ascii="宋体" w:hAnsi="宋体" w:cs="宋体"/>
          <w:b/>
          <w:sz w:val="24"/>
          <w:shd w:val="clear" w:color="auto" w:fill="FFFFFF"/>
        </w:rPr>
        <w:t>2.7.安全管理制度测评</w:t>
      </w:r>
    </w:p>
    <w:p>
      <w:pPr>
        <w:pStyle w:val="18"/>
        <w:ind w:firstLine="482" w:firstLineChars="200"/>
        <w:jc w:val="both"/>
        <w:rPr>
          <w:rFonts w:hint="default"/>
        </w:rPr>
      </w:pPr>
      <w:r>
        <w:rPr>
          <w:rFonts w:ascii="宋体" w:hAnsi="宋体" w:cs="宋体"/>
          <w:b/>
          <w:sz w:val="24"/>
          <w:shd w:val="clear" w:color="auto" w:fill="FFFFFF"/>
        </w:rPr>
        <w:t>2.7.1.测评指标</w:t>
      </w:r>
    </w:p>
    <w:p>
      <w:pPr>
        <w:pStyle w:val="18"/>
        <w:jc w:val="center"/>
        <w:rPr>
          <w:rFonts w:hint="default"/>
        </w:rPr>
      </w:pPr>
      <w:r>
        <w:rPr>
          <w:rFonts w:ascii="宋体" w:hAnsi="宋体" w:cs="宋体"/>
          <w:sz w:val="24"/>
          <w:shd w:val="clear" w:color="auto" w:fill="FFFFFF"/>
        </w:rPr>
        <w:t>安全管理制度（通用要求）测评指标</w:t>
      </w:r>
    </w:p>
    <w:tbl>
      <w:tblPr>
        <w:tblStyle w:val="17"/>
        <w:tblW w:w="9638" w:type="dxa"/>
        <w:jc w:val="center"/>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590"/>
        <w:gridCol w:w="1050"/>
        <w:gridCol w:w="799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90" w:type="dxa"/>
            <w:tcBorders>
              <w:top w:val="single" w:color="000000" w:sz="4" w:space="0"/>
              <w:left w:val="single" w:color="000000" w:sz="4" w:space="0"/>
              <w:bottom w:val="single" w:color="000000" w:sz="4" w:space="0"/>
              <w:right w:val="single" w:color="000000" w:sz="4" w:space="0"/>
            </w:tcBorders>
            <w:shd w:val="clear" w:color="auto" w:fill="BFBFBF"/>
            <w:tcMar>
              <w:top w:w="90" w:type="dxa"/>
              <w:left w:w="90" w:type="dxa"/>
              <w:bottom w:w="90" w:type="dxa"/>
              <w:right w:w="90" w:type="dxa"/>
            </w:tcMar>
            <w:vAlign w:val="top"/>
          </w:tcPr>
          <w:p>
            <w:pPr>
              <w:pStyle w:val="18"/>
              <w:jc w:val="center"/>
              <w:rPr>
                <w:rFonts w:hint="default"/>
              </w:rPr>
            </w:pPr>
            <w:r>
              <w:rPr>
                <w:rFonts w:ascii="宋体" w:hAnsi="宋体" w:cs="宋体"/>
                <w:b/>
                <w:sz w:val="24"/>
              </w:rPr>
              <w:t>序号</w:t>
            </w:r>
          </w:p>
        </w:tc>
        <w:tc>
          <w:tcPr>
            <w:tcW w:w="1050" w:type="dxa"/>
            <w:tcBorders>
              <w:top w:val="single" w:color="000000" w:sz="4" w:space="0"/>
              <w:left w:val="nil"/>
              <w:bottom w:val="single" w:color="000000" w:sz="4" w:space="0"/>
              <w:right w:val="single" w:color="000000" w:sz="4" w:space="0"/>
            </w:tcBorders>
            <w:shd w:val="clear" w:color="auto" w:fill="BFBFBF"/>
            <w:tcMar>
              <w:top w:w="90" w:type="dxa"/>
              <w:left w:w="90" w:type="dxa"/>
              <w:bottom w:w="90" w:type="dxa"/>
              <w:right w:w="90" w:type="dxa"/>
            </w:tcMar>
            <w:vAlign w:val="top"/>
          </w:tcPr>
          <w:p>
            <w:pPr>
              <w:pStyle w:val="18"/>
              <w:jc w:val="center"/>
              <w:rPr>
                <w:rFonts w:hint="default"/>
              </w:rPr>
            </w:pPr>
            <w:r>
              <w:rPr>
                <w:rFonts w:ascii="宋体" w:hAnsi="宋体" w:cs="宋体"/>
                <w:b/>
                <w:sz w:val="24"/>
              </w:rPr>
              <w:t>安全子类</w:t>
            </w:r>
          </w:p>
        </w:tc>
        <w:tc>
          <w:tcPr>
            <w:tcW w:w="7998" w:type="dxa"/>
            <w:tcBorders>
              <w:top w:val="single" w:color="000000" w:sz="4" w:space="0"/>
              <w:left w:val="nil"/>
              <w:bottom w:val="single" w:color="000000" w:sz="4" w:space="0"/>
              <w:right w:val="single" w:color="000000" w:sz="4" w:space="0"/>
            </w:tcBorders>
            <w:shd w:val="clear" w:color="auto" w:fill="BFBFBF"/>
            <w:tcMar>
              <w:top w:w="90" w:type="dxa"/>
              <w:left w:w="90" w:type="dxa"/>
              <w:bottom w:w="90" w:type="dxa"/>
              <w:right w:w="90" w:type="dxa"/>
            </w:tcMar>
            <w:vAlign w:val="top"/>
          </w:tcPr>
          <w:p>
            <w:pPr>
              <w:pStyle w:val="18"/>
              <w:jc w:val="center"/>
              <w:rPr>
                <w:rFonts w:hint="default"/>
              </w:rPr>
            </w:pPr>
            <w:r>
              <w:rPr>
                <w:rFonts w:ascii="宋体" w:hAnsi="宋体" w:cs="宋体"/>
                <w:b/>
                <w:sz w:val="24"/>
              </w:rPr>
              <w:t>测评指标描述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90" w:type="dxa"/>
            <w:tcBorders>
              <w:top w:val="nil"/>
              <w:left w:val="single" w:color="000000" w:sz="4" w:space="0"/>
              <w:bottom w:val="single" w:color="000000" w:sz="4" w:space="0"/>
              <w:right w:val="single" w:color="000000" w:sz="4" w:space="0"/>
            </w:tcBorders>
            <w:tcMar>
              <w:top w:w="90" w:type="dxa"/>
              <w:left w:w="90" w:type="dxa"/>
              <w:bottom w:w="90" w:type="dxa"/>
              <w:right w:w="90" w:type="dxa"/>
            </w:tcMar>
            <w:vAlign w:val="top"/>
          </w:tcPr>
          <w:p>
            <w:pPr>
              <w:pStyle w:val="18"/>
              <w:jc w:val="center"/>
              <w:rPr>
                <w:rFonts w:hint="default"/>
              </w:rPr>
            </w:pPr>
            <w:r>
              <w:rPr>
                <w:rFonts w:ascii="宋体" w:hAnsi="宋体" w:cs="宋体"/>
                <w:sz w:val="24"/>
              </w:rPr>
              <w:t>1</w:t>
            </w:r>
          </w:p>
        </w:tc>
        <w:tc>
          <w:tcPr>
            <w:tcW w:w="1050" w:type="dxa"/>
            <w:tcBorders>
              <w:top w:val="nil"/>
              <w:left w:val="nil"/>
              <w:bottom w:val="single" w:color="000000" w:sz="4" w:space="0"/>
              <w:right w:val="single" w:color="000000" w:sz="4" w:space="0"/>
            </w:tcBorders>
            <w:tcMar>
              <w:top w:w="90" w:type="dxa"/>
              <w:left w:w="90" w:type="dxa"/>
              <w:bottom w:w="90" w:type="dxa"/>
              <w:right w:w="90" w:type="dxa"/>
            </w:tcMar>
            <w:vAlign w:val="top"/>
          </w:tcPr>
          <w:p>
            <w:pPr>
              <w:pStyle w:val="18"/>
              <w:jc w:val="center"/>
              <w:rPr>
                <w:rFonts w:hint="default"/>
              </w:rPr>
            </w:pPr>
            <w:r>
              <w:rPr>
                <w:rFonts w:ascii="宋体" w:hAnsi="宋体" w:cs="宋体"/>
                <w:sz w:val="24"/>
              </w:rPr>
              <w:t>安全策略</w:t>
            </w:r>
          </w:p>
        </w:tc>
        <w:tc>
          <w:tcPr>
            <w:tcW w:w="7998" w:type="dxa"/>
            <w:tcBorders>
              <w:top w:val="nil"/>
              <w:left w:val="nil"/>
              <w:bottom w:val="single" w:color="000000" w:sz="4" w:space="0"/>
              <w:right w:val="single" w:color="000000" w:sz="4" w:space="0"/>
            </w:tcBorders>
            <w:tcMar>
              <w:top w:w="90" w:type="dxa"/>
              <w:left w:w="90" w:type="dxa"/>
              <w:bottom w:w="90" w:type="dxa"/>
              <w:right w:w="90" w:type="dxa"/>
            </w:tcMar>
            <w:vAlign w:val="top"/>
          </w:tcPr>
          <w:p>
            <w:pPr>
              <w:pStyle w:val="18"/>
              <w:rPr>
                <w:rFonts w:hint="default"/>
              </w:rPr>
            </w:pPr>
            <w:r>
              <w:rPr>
                <w:rFonts w:ascii="宋体" w:hAnsi="宋体" w:cs="宋体"/>
                <w:sz w:val="24"/>
              </w:rPr>
              <w:t>a）应制定网络安全工作的总体方针和安全策略，阐明机构安全工作的总体目标、范围、原则和安全框架等。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90" w:type="dxa"/>
            <w:tcBorders>
              <w:top w:val="nil"/>
              <w:left w:val="single" w:color="000000" w:sz="4" w:space="0"/>
              <w:bottom w:val="single" w:color="000000" w:sz="4" w:space="0"/>
              <w:right w:val="single" w:color="000000" w:sz="4" w:space="0"/>
            </w:tcBorders>
            <w:tcMar>
              <w:top w:w="90" w:type="dxa"/>
              <w:left w:w="90" w:type="dxa"/>
              <w:bottom w:w="90" w:type="dxa"/>
              <w:right w:w="90" w:type="dxa"/>
            </w:tcMar>
            <w:vAlign w:val="top"/>
          </w:tcPr>
          <w:p>
            <w:pPr>
              <w:pStyle w:val="18"/>
              <w:jc w:val="center"/>
              <w:rPr>
                <w:rFonts w:hint="default"/>
              </w:rPr>
            </w:pPr>
            <w:r>
              <w:rPr>
                <w:rFonts w:ascii="宋体" w:hAnsi="宋体" w:cs="宋体"/>
                <w:sz w:val="24"/>
              </w:rPr>
              <w:t>2</w:t>
            </w:r>
          </w:p>
        </w:tc>
        <w:tc>
          <w:tcPr>
            <w:tcW w:w="1050" w:type="dxa"/>
            <w:vMerge w:val="restart"/>
            <w:tcBorders>
              <w:top w:val="nil"/>
              <w:left w:val="nil"/>
              <w:bottom w:val="single" w:color="000000" w:sz="4" w:space="0"/>
              <w:right w:val="single" w:color="000000" w:sz="4" w:space="0"/>
            </w:tcBorders>
            <w:tcMar>
              <w:top w:w="90" w:type="dxa"/>
              <w:left w:w="90" w:type="dxa"/>
              <w:bottom w:w="90" w:type="dxa"/>
              <w:right w:w="90" w:type="dxa"/>
            </w:tcMar>
            <w:vAlign w:val="top"/>
          </w:tcPr>
          <w:p>
            <w:pPr>
              <w:pStyle w:val="18"/>
              <w:jc w:val="center"/>
              <w:rPr>
                <w:rFonts w:hint="default"/>
              </w:rPr>
            </w:pPr>
            <w:r>
              <w:rPr>
                <w:rFonts w:ascii="宋体" w:hAnsi="宋体" w:cs="宋体"/>
                <w:sz w:val="24"/>
              </w:rPr>
              <w:t>管理制度</w:t>
            </w:r>
          </w:p>
        </w:tc>
        <w:tc>
          <w:tcPr>
            <w:tcW w:w="7998" w:type="dxa"/>
            <w:tcBorders>
              <w:top w:val="nil"/>
              <w:left w:val="nil"/>
              <w:bottom w:val="single" w:color="000000" w:sz="4" w:space="0"/>
              <w:right w:val="single" w:color="000000" w:sz="4" w:space="0"/>
            </w:tcBorders>
            <w:tcMar>
              <w:top w:w="90" w:type="dxa"/>
              <w:left w:w="90" w:type="dxa"/>
              <w:bottom w:w="90" w:type="dxa"/>
              <w:right w:w="90" w:type="dxa"/>
            </w:tcMar>
            <w:vAlign w:val="top"/>
          </w:tcPr>
          <w:p>
            <w:pPr>
              <w:pStyle w:val="18"/>
              <w:rPr>
                <w:rFonts w:hint="default"/>
              </w:rPr>
            </w:pPr>
            <w:r>
              <w:rPr>
                <w:rFonts w:ascii="宋体" w:hAnsi="宋体" w:cs="宋体"/>
                <w:sz w:val="24"/>
              </w:rPr>
              <w:t>a）应对安全管理活动中的各类管理内容建立安全管理制度；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90" w:type="dxa"/>
            <w:tcBorders>
              <w:top w:val="nil"/>
              <w:left w:val="single" w:color="000000" w:sz="4" w:space="0"/>
              <w:bottom w:val="single" w:color="000000" w:sz="4" w:space="0"/>
              <w:right w:val="single" w:color="000000" w:sz="4" w:space="0"/>
            </w:tcBorders>
            <w:tcMar>
              <w:top w:w="90" w:type="dxa"/>
              <w:left w:w="90" w:type="dxa"/>
              <w:bottom w:w="90" w:type="dxa"/>
              <w:right w:w="90" w:type="dxa"/>
            </w:tcMar>
            <w:vAlign w:val="top"/>
          </w:tcPr>
          <w:p>
            <w:pPr>
              <w:pStyle w:val="18"/>
              <w:jc w:val="center"/>
              <w:rPr>
                <w:rFonts w:hint="default"/>
              </w:rPr>
            </w:pPr>
            <w:r>
              <w:rPr>
                <w:rFonts w:ascii="宋体" w:hAnsi="宋体" w:cs="宋体"/>
                <w:sz w:val="24"/>
              </w:rPr>
              <w:t>3</w:t>
            </w:r>
          </w:p>
        </w:tc>
        <w:tc>
          <w:tcPr>
            <w:tcW w:w="1050" w:type="dxa"/>
            <w:vMerge w:val="continue"/>
            <w:tcBorders>
              <w:top w:val="nil"/>
              <w:left w:val="nil"/>
              <w:bottom w:val="single" w:color="000000" w:sz="4" w:space="0"/>
              <w:right w:val="single" w:color="000000" w:sz="4" w:space="0"/>
            </w:tcBorders>
            <w:vAlign w:val="top"/>
          </w:tcPr>
          <w:p/>
        </w:tc>
        <w:tc>
          <w:tcPr>
            <w:tcW w:w="7998" w:type="dxa"/>
            <w:tcBorders>
              <w:top w:val="nil"/>
              <w:left w:val="nil"/>
              <w:bottom w:val="single" w:color="000000" w:sz="4" w:space="0"/>
              <w:right w:val="single" w:color="000000" w:sz="4" w:space="0"/>
            </w:tcBorders>
            <w:tcMar>
              <w:top w:w="90" w:type="dxa"/>
              <w:left w:w="90" w:type="dxa"/>
              <w:bottom w:w="90" w:type="dxa"/>
              <w:right w:w="90" w:type="dxa"/>
            </w:tcMar>
            <w:vAlign w:val="top"/>
          </w:tcPr>
          <w:p>
            <w:pPr>
              <w:pStyle w:val="18"/>
              <w:rPr>
                <w:rFonts w:hint="default"/>
              </w:rPr>
            </w:pPr>
            <w:r>
              <w:rPr>
                <w:rFonts w:ascii="宋体" w:hAnsi="宋体" w:cs="宋体"/>
                <w:sz w:val="24"/>
              </w:rPr>
              <w:t>b）应对管理人员或操作人员执行的日常管理操作建立操作规程；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90" w:type="dxa"/>
            <w:tcBorders>
              <w:top w:val="nil"/>
              <w:left w:val="single" w:color="000000" w:sz="4" w:space="0"/>
              <w:bottom w:val="single" w:color="000000" w:sz="4" w:space="0"/>
              <w:right w:val="single" w:color="000000" w:sz="4" w:space="0"/>
            </w:tcBorders>
            <w:tcMar>
              <w:top w:w="90" w:type="dxa"/>
              <w:left w:w="90" w:type="dxa"/>
              <w:bottom w:w="90" w:type="dxa"/>
              <w:right w:w="90" w:type="dxa"/>
            </w:tcMar>
            <w:vAlign w:val="top"/>
          </w:tcPr>
          <w:p>
            <w:pPr>
              <w:pStyle w:val="18"/>
              <w:jc w:val="center"/>
              <w:rPr>
                <w:rFonts w:hint="default"/>
              </w:rPr>
            </w:pPr>
            <w:r>
              <w:rPr>
                <w:rFonts w:ascii="宋体" w:hAnsi="宋体" w:cs="宋体"/>
                <w:sz w:val="24"/>
              </w:rPr>
              <w:t>4</w:t>
            </w:r>
          </w:p>
        </w:tc>
        <w:tc>
          <w:tcPr>
            <w:tcW w:w="1050" w:type="dxa"/>
            <w:vMerge w:val="continue"/>
            <w:tcBorders>
              <w:top w:val="nil"/>
              <w:left w:val="nil"/>
              <w:bottom w:val="single" w:color="000000" w:sz="4" w:space="0"/>
              <w:right w:val="single" w:color="000000" w:sz="4" w:space="0"/>
            </w:tcBorders>
            <w:vAlign w:val="top"/>
          </w:tcPr>
          <w:p/>
        </w:tc>
        <w:tc>
          <w:tcPr>
            <w:tcW w:w="7998" w:type="dxa"/>
            <w:tcBorders>
              <w:top w:val="nil"/>
              <w:left w:val="nil"/>
              <w:bottom w:val="single" w:color="000000" w:sz="4" w:space="0"/>
              <w:right w:val="single" w:color="000000" w:sz="4" w:space="0"/>
            </w:tcBorders>
            <w:tcMar>
              <w:top w:w="90" w:type="dxa"/>
              <w:left w:w="90" w:type="dxa"/>
              <w:bottom w:w="90" w:type="dxa"/>
              <w:right w:w="90" w:type="dxa"/>
            </w:tcMar>
            <w:vAlign w:val="top"/>
          </w:tcPr>
          <w:p>
            <w:pPr>
              <w:pStyle w:val="18"/>
              <w:rPr>
                <w:rFonts w:hint="default"/>
              </w:rPr>
            </w:pPr>
            <w:r>
              <w:rPr>
                <w:rFonts w:ascii="宋体" w:hAnsi="宋体" w:cs="宋体"/>
                <w:sz w:val="24"/>
              </w:rPr>
              <w:t>c）应形成由安全策略、管理制度、操作规程、记录表单等构成的全面的安全管理制度体系。</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90" w:type="dxa"/>
            <w:tcBorders>
              <w:top w:val="nil"/>
              <w:left w:val="single" w:color="000000" w:sz="4" w:space="0"/>
              <w:bottom w:val="single" w:color="000000" w:sz="4" w:space="0"/>
              <w:right w:val="single" w:color="000000" w:sz="4" w:space="0"/>
            </w:tcBorders>
            <w:tcMar>
              <w:top w:w="90" w:type="dxa"/>
              <w:left w:w="90" w:type="dxa"/>
              <w:bottom w:w="90" w:type="dxa"/>
              <w:right w:w="90" w:type="dxa"/>
            </w:tcMar>
            <w:vAlign w:val="top"/>
          </w:tcPr>
          <w:p>
            <w:pPr>
              <w:pStyle w:val="18"/>
              <w:jc w:val="center"/>
              <w:rPr>
                <w:rFonts w:hint="default"/>
              </w:rPr>
            </w:pPr>
            <w:r>
              <w:rPr>
                <w:rFonts w:ascii="宋体" w:hAnsi="宋体" w:cs="宋体"/>
                <w:sz w:val="24"/>
              </w:rPr>
              <w:t>5</w:t>
            </w:r>
          </w:p>
        </w:tc>
        <w:tc>
          <w:tcPr>
            <w:tcW w:w="1050" w:type="dxa"/>
            <w:vMerge w:val="restart"/>
            <w:tcBorders>
              <w:top w:val="nil"/>
              <w:left w:val="nil"/>
              <w:bottom w:val="single" w:color="000000" w:sz="4" w:space="0"/>
              <w:right w:val="single" w:color="000000" w:sz="4" w:space="0"/>
            </w:tcBorders>
            <w:tcMar>
              <w:top w:w="90" w:type="dxa"/>
              <w:left w:w="90" w:type="dxa"/>
              <w:bottom w:w="90" w:type="dxa"/>
              <w:right w:w="90" w:type="dxa"/>
            </w:tcMar>
            <w:vAlign w:val="top"/>
          </w:tcPr>
          <w:p>
            <w:pPr>
              <w:pStyle w:val="18"/>
              <w:jc w:val="center"/>
              <w:rPr>
                <w:rFonts w:hint="default"/>
              </w:rPr>
            </w:pPr>
            <w:r>
              <w:rPr>
                <w:rFonts w:ascii="宋体" w:hAnsi="宋体" w:cs="宋体"/>
                <w:sz w:val="24"/>
              </w:rPr>
              <w:t>制定和发布</w:t>
            </w:r>
          </w:p>
        </w:tc>
        <w:tc>
          <w:tcPr>
            <w:tcW w:w="7998" w:type="dxa"/>
            <w:tcBorders>
              <w:top w:val="nil"/>
              <w:left w:val="nil"/>
              <w:bottom w:val="single" w:color="000000" w:sz="4" w:space="0"/>
              <w:right w:val="single" w:color="000000" w:sz="4" w:space="0"/>
            </w:tcBorders>
            <w:tcMar>
              <w:top w:w="90" w:type="dxa"/>
              <w:left w:w="90" w:type="dxa"/>
              <w:bottom w:w="90" w:type="dxa"/>
              <w:right w:w="90" w:type="dxa"/>
            </w:tcMar>
            <w:vAlign w:val="top"/>
          </w:tcPr>
          <w:p>
            <w:pPr>
              <w:pStyle w:val="18"/>
              <w:rPr>
                <w:rFonts w:hint="default"/>
              </w:rPr>
            </w:pPr>
            <w:r>
              <w:rPr>
                <w:rFonts w:ascii="宋体" w:hAnsi="宋体" w:cs="宋体"/>
                <w:sz w:val="24"/>
              </w:rPr>
              <w:t>a）应指定或授权专门的部门或人员负责安全管理制度的制定；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90" w:type="dxa"/>
            <w:tcBorders>
              <w:top w:val="nil"/>
              <w:left w:val="single" w:color="000000" w:sz="4" w:space="0"/>
              <w:bottom w:val="single" w:color="000000" w:sz="4" w:space="0"/>
              <w:right w:val="single" w:color="000000" w:sz="4" w:space="0"/>
            </w:tcBorders>
            <w:tcMar>
              <w:top w:w="90" w:type="dxa"/>
              <w:left w:w="90" w:type="dxa"/>
              <w:bottom w:w="90" w:type="dxa"/>
              <w:right w:w="90" w:type="dxa"/>
            </w:tcMar>
            <w:vAlign w:val="top"/>
          </w:tcPr>
          <w:p>
            <w:pPr>
              <w:pStyle w:val="18"/>
              <w:jc w:val="center"/>
              <w:rPr>
                <w:rFonts w:hint="default"/>
              </w:rPr>
            </w:pPr>
            <w:r>
              <w:rPr>
                <w:rFonts w:ascii="宋体" w:hAnsi="宋体" w:cs="宋体"/>
                <w:sz w:val="24"/>
              </w:rPr>
              <w:t>6</w:t>
            </w:r>
          </w:p>
        </w:tc>
        <w:tc>
          <w:tcPr>
            <w:tcW w:w="1050" w:type="dxa"/>
            <w:vMerge w:val="continue"/>
            <w:tcBorders>
              <w:top w:val="nil"/>
              <w:left w:val="nil"/>
              <w:bottom w:val="single" w:color="000000" w:sz="4" w:space="0"/>
              <w:right w:val="single" w:color="000000" w:sz="4" w:space="0"/>
            </w:tcBorders>
            <w:vAlign w:val="top"/>
          </w:tcPr>
          <w:p/>
        </w:tc>
        <w:tc>
          <w:tcPr>
            <w:tcW w:w="7998" w:type="dxa"/>
            <w:tcBorders>
              <w:top w:val="nil"/>
              <w:left w:val="nil"/>
              <w:bottom w:val="single" w:color="000000" w:sz="4" w:space="0"/>
              <w:right w:val="single" w:color="000000" w:sz="4" w:space="0"/>
            </w:tcBorders>
            <w:tcMar>
              <w:top w:w="90" w:type="dxa"/>
              <w:left w:w="90" w:type="dxa"/>
              <w:bottom w:w="90" w:type="dxa"/>
              <w:right w:w="90" w:type="dxa"/>
            </w:tcMar>
            <w:vAlign w:val="top"/>
          </w:tcPr>
          <w:p>
            <w:pPr>
              <w:pStyle w:val="18"/>
              <w:rPr>
                <w:rFonts w:hint="default"/>
              </w:rPr>
            </w:pPr>
            <w:r>
              <w:rPr>
                <w:rFonts w:ascii="宋体" w:hAnsi="宋体" w:cs="宋体"/>
                <w:sz w:val="24"/>
              </w:rPr>
              <w:t>b）安全管理制度应通过正式、有效的方式发布，并进行版本控制。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90" w:type="dxa"/>
            <w:tcBorders>
              <w:top w:val="nil"/>
              <w:left w:val="single" w:color="000000" w:sz="4" w:space="0"/>
              <w:bottom w:val="single" w:color="000000" w:sz="4" w:space="0"/>
              <w:right w:val="single" w:color="000000" w:sz="4" w:space="0"/>
            </w:tcBorders>
            <w:tcMar>
              <w:top w:w="90" w:type="dxa"/>
              <w:left w:w="90" w:type="dxa"/>
              <w:bottom w:w="90" w:type="dxa"/>
              <w:right w:w="90" w:type="dxa"/>
            </w:tcMar>
            <w:vAlign w:val="top"/>
          </w:tcPr>
          <w:p>
            <w:pPr>
              <w:pStyle w:val="18"/>
              <w:jc w:val="center"/>
              <w:rPr>
                <w:rFonts w:hint="default"/>
              </w:rPr>
            </w:pPr>
            <w:r>
              <w:rPr>
                <w:rFonts w:ascii="宋体" w:hAnsi="宋体" w:cs="宋体"/>
                <w:sz w:val="24"/>
              </w:rPr>
              <w:t>7</w:t>
            </w:r>
          </w:p>
        </w:tc>
        <w:tc>
          <w:tcPr>
            <w:tcW w:w="1050" w:type="dxa"/>
            <w:tcBorders>
              <w:top w:val="nil"/>
              <w:left w:val="nil"/>
              <w:bottom w:val="single" w:color="000000" w:sz="4" w:space="0"/>
              <w:right w:val="single" w:color="000000" w:sz="4" w:space="0"/>
            </w:tcBorders>
            <w:tcMar>
              <w:top w:w="90" w:type="dxa"/>
              <w:left w:w="90" w:type="dxa"/>
              <w:bottom w:w="90" w:type="dxa"/>
              <w:right w:w="90" w:type="dxa"/>
            </w:tcMar>
            <w:vAlign w:val="top"/>
          </w:tcPr>
          <w:p>
            <w:pPr>
              <w:pStyle w:val="18"/>
              <w:jc w:val="center"/>
              <w:rPr>
                <w:rFonts w:hint="default"/>
              </w:rPr>
            </w:pPr>
            <w:r>
              <w:rPr>
                <w:rFonts w:ascii="宋体" w:hAnsi="宋体" w:cs="宋体"/>
                <w:sz w:val="24"/>
              </w:rPr>
              <w:t>评审和修订</w:t>
            </w:r>
          </w:p>
        </w:tc>
        <w:tc>
          <w:tcPr>
            <w:tcW w:w="7998" w:type="dxa"/>
            <w:tcBorders>
              <w:top w:val="nil"/>
              <w:left w:val="nil"/>
              <w:bottom w:val="single" w:color="000000" w:sz="4" w:space="0"/>
              <w:right w:val="single" w:color="000000" w:sz="4" w:space="0"/>
            </w:tcBorders>
            <w:tcMar>
              <w:top w:w="90" w:type="dxa"/>
              <w:left w:w="90" w:type="dxa"/>
              <w:bottom w:w="90" w:type="dxa"/>
              <w:right w:w="90" w:type="dxa"/>
            </w:tcMar>
            <w:vAlign w:val="top"/>
          </w:tcPr>
          <w:p>
            <w:pPr>
              <w:pStyle w:val="18"/>
              <w:rPr>
                <w:rFonts w:hint="default"/>
              </w:rPr>
            </w:pPr>
            <w:r>
              <w:rPr>
                <w:rFonts w:ascii="宋体" w:hAnsi="宋体" w:cs="宋体"/>
                <w:sz w:val="24"/>
              </w:rPr>
              <w:t>a）应定期对安全管理制度的合理性和适用性进行论证和审定，对存在不足或需要改进的安全管理制度进行修订。</w:t>
            </w:r>
          </w:p>
        </w:tc>
      </w:tr>
    </w:tbl>
    <w:p>
      <w:pPr>
        <w:pStyle w:val="18"/>
        <w:ind w:firstLine="482" w:firstLineChars="200"/>
        <w:jc w:val="both"/>
        <w:rPr>
          <w:rFonts w:hint="default"/>
        </w:rPr>
      </w:pPr>
      <w:r>
        <w:rPr>
          <w:rFonts w:ascii="宋体" w:hAnsi="宋体" w:cs="宋体"/>
          <w:b/>
          <w:sz w:val="24"/>
          <w:shd w:val="clear" w:color="auto" w:fill="FFFFFF"/>
        </w:rPr>
        <w:t>2.7.2.测评实施</w:t>
      </w:r>
    </w:p>
    <w:p>
      <w:pPr>
        <w:pStyle w:val="18"/>
        <w:ind w:firstLine="480"/>
        <w:jc w:val="both"/>
        <w:rPr>
          <w:rFonts w:hint="default"/>
        </w:rPr>
      </w:pPr>
      <w:r>
        <w:rPr>
          <w:rFonts w:ascii="宋体" w:hAnsi="宋体" w:cs="宋体"/>
          <w:sz w:val="24"/>
          <w:shd w:val="clear" w:color="auto" w:fill="FFFFFF"/>
        </w:rPr>
        <w:t>安全管理类测评中，以文档查看和分析为主，访谈为辅获取证据，来评测项目委托单位安全管理类措施的落实情况。安全管理类测评主要涉及安全主管、安全管理人员、管理制度文档、各类操作规程文件和操作记录等。</w:t>
      </w:r>
    </w:p>
    <w:p>
      <w:pPr>
        <w:pStyle w:val="18"/>
        <w:ind w:firstLine="482" w:firstLineChars="200"/>
        <w:jc w:val="both"/>
        <w:outlineLvl w:val="5"/>
        <w:rPr>
          <w:rFonts w:hint="default"/>
        </w:rPr>
      </w:pPr>
      <w:r>
        <w:rPr>
          <w:rFonts w:ascii="宋体" w:hAnsi="宋体" w:cs="宋体"/>
          <w:b/>
          <w:sz w:val="24"/>
          <w:shd w:val="clear" w:color="auto" w:fill="FFFFFF"/>
        </w:rPr>
        <w:t>2.8.安全管理机构测评</w:t>
      </w:r>
    </w:p>
    <w:p>
      <w:pPr>
        <w:pStyle w:val="18"/>
        <w:ind w:firstLine="482" w:firstLineChars="200"/>
        <w:jc w:val="both"/>
        <w:rPr>
          <w:rFonts w:hint="default"/>
        </w:rPr>
      </w:pPr>
      <w:r>
        <w:rPr>
          <w:rFonts w:ascii="宋体" w:hAnsi="宋体" w:cs="宋体"/>
          <w:b/>
          <w:sz w:val="24"/>
          <w:shd w:val="clear" w:color="auto" w:fill="FFFFFF"/>
        </w:rPr>
        <w:t>2.8.1.测评指标</w:t>
      </w:r>
    </w:p>
    <w:p>
      <w:pPr>
        <w:pStyle w:val="18"/>
        <w:jc w:val="center"/>
        <w:rPr>
          <w:rFonts w:hint="default"/>
        </w:rPr>
      </w:pPr>
      <w:r>
        <w:rPr>
          <w:rFonts w:ascii="宋体" w:hAnsi="宋体" w:cs="宋体"/>
          <w:sz w:val="24"/>
          <w:shd w:val="clear" w:color="auto" w:fill="FFFFFF"/>
        </w:rPr>
        <w:t>安全管理机构（通用要求）测评指标</w:t>
      </w:r>
    </w:p>
    <w:tbl>
      <w:tblPr>
        <w:tblStyle w:val="17"/>
        <w:tblW w:w="9638" w:type="dxa"/>
        <w:jc w:val="center"/>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562"/>
        <w:gridCol w:w="944"/>
        <w:gridCol w:w="8132"/>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BFBFBF"/>
            <w:tcMar>
              <w:top w:w="90" w:type="dxa"/>
              <w:left w:w="90" w:type="dxa"/>
              <w:bottom w:w="90" w:type="dxa"/>
              <w:right w:w="90" w:type="dxa"/>
            </w:tcMar>
            <w:vAlign w:val="top"/>
          </w:tcPr>
          <w:p>
            <w:pPr>
              <w:pStyle w:val="18"/>
              <w:jc w:val="center"/>
              <w:rPr>
                <w:rFonts w:hint="default"/>
              </w:rPr>
            </w:pPr>
            <w:r>
              <w:rPr>
                <w:rFonts w:ascii="宋体" w:hAnsi="宋体" w:cs="宋体"/>
                <w:b/>
                <w:sz w:val="24"/>
              </w:rPr>
              <w:t>序号</w:t>
            </w:r>
          </w:p>
        </w:tc>
        <w:tc>
          <w:tcPr>
            <w:tcW w:w="944" w:type="dxa"/>
            <w:tcBorders>
              <w:top w:val="single" w:color="000000" w:sz="4" w:space="0"/>
              <w:left w:val="nil"/>
              <w:bottom w:val="single" w:color="000000" w:sz="4" w:space="0"/>
              <w:right w:val="single" w:color="000000" w:sz="4" w:space="0"/>
            </w:tcBorders>
            <w:shd w:val="clear" w:color="auto" w:fill="BFBFBF"/>
            <w:tcMar>
              <w:top w:w="90" w:type="dxa"/>
              <w:left w:w="90" w:type="dxa"/>
              <w:bottom w:w="90" w:type="dxa"/>
              <w:right w:w="90" w:type="dxa"/>
            </w:tcMar>
            <w:vAlign w:val="top"/>
          </w:tcPr>
          <w:p>
            <w:pPr>
              <w:pStyle w:val="18"/>
              <w:jc w:val="center"/>
              <w:rPr>
                <w:rFonts w:hint="default"/>
              </w:rPr>
            </w:pPr>
            <w:r>
              <w:rPr>
                <w:rFonts w:ascii="宋体" w:hAnsi="宋体" w:cs="宋体"/>
                <w:b/>
                <w:sz w:val="24"/>
              </w:rPr>
              <w:t>安全子类</w:t>
            </w:r>
          </w:p>
        </w:tc>
        <w:tc>
          <w:tcPr>
            <w:tcW w:w="8132" w:type="dxa"/>
            <w:tcBorders>
              <w:top w:val="single" w:color="000000" w:sz="4" w:space="0"/>
              <w:left w:val="nil"/>
              <w:bottom w:val="single" w:color="000000" w:sz="4" w:space="0"/>
              <w:right w:val="single" w:color="000000" w:sz="4" w:space="0"/>
            </w:tcBorders>
            <w:shd w:val="clear" w:color="auto" w:fill="BFBFBF"/>
            <w:tcMar>
              <w:top w:w="90" w:type="dxa"/>
              <w:left w:w="90" w:type="dxa"/>
              <w:bottom w:w="90" w:type="dxa"/>
              <w:right w:w="90" w:type="dxa"/>
            </w:tcMar>
            <w:vAlign w:val="top"/>
          </w:tcPr>
          <w:p>
            <w:pPr>
              <w:pStyle w:val="18"/>
              <w:jc w:val="center"/>
              <w:rPr>
                <w:rFonts w:hint="default"/>
              </w:rPr>
            </w:pPr>
            <w:r>
              <w:rPr>
                <w:rFonts w:ascii="宋体" w:hAnsi="宋体" w:cs="宋体"/>
                <w:b/>
                <w:sz w:val="24"/>
              </w:rPr>
              <w:t>测评指标描述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62" w:type="dxa"/>
            <w:tcBorders>
              <w:top w:val="nil"/>
              <w:left w:val="single" w:color="000000" w:sz="4" w:space="0"/>
              <w:bottom w:val="single" w:color="000000" w:sz="4" w:space="0"/>
              <w:right w:val="single" w:color="000000" w:sz="4" w:space="0"/>
            </w:tcBorders>
            <w:tcMar>
              <w:top w:w="90" w:type="dxa"/>
              <w:left w:w="90" w:type="dxa"/>
              <w:bottom w:w="90" w:type="dxa"/>
              <w:right w:w="90" w:type="dxa"/>
            </w:tcMar>
            <w:vAlign w:val="top"/>
          </w:tcPr>
          <w:p>
            <w:pPr>
              <w:pStyle w:val="18"/>
              <w:jc w:val="center"/>
              <w:rPr>
                <w:rFonts w:hint="default"/>
              </w:rPr>
            </w:pPr>
            <w:r>
              <w:rPr>
                <w:rFonts w:ascii="宋体" w:hAnsi="宋体" w:cs="宋体"/>
                <w:sz w:val="24"/>
              </w:rPr>
              <w:t>1</w:t>
            </w:r>
          </w:p>
        </w:tc>
        <w:tc>
          <w:tcPr>
            <w:tcW w:w="944" w:type="dxa"/>
            <w:vMerge w:val="restart"/>
            <w:tcBorders>
              <w:top w:val="nil"/>
              <w:left w:val="nil"/>
              <w:bottom w:val="single" w:color="000000" w:sz="4" w:space="0"/>
              <w:right w:val="single" w:color="000000" w:sz="4" w:space="0"/>
            </w:tcBorders>
            <w:tcMar>
              <w:top w:w="90" w:type="dxa"/>
              <w:left w:w="90" w:type="dxa"/>
              <w:bottom w:w="90" w:type="dxa"/>
              <w:right w:w="90" w:type="dxa"/>
            </w:tcMar>
            <w:vAlign w:val="top"/>
          </w:tcPr>
          <w:p>
            <w:pPr>
              <w:pStyle w:val="18"/>
              <w:jc w:val="center"/>
              <w:rPr>
                <w:rFonts w:hint="default"/>
              </w:rPr>
            </w:pPr>
            <w:r>
              <w:rPr>
                <w:rFonts w:ascii="宋体" w:hAnsi="宋体" w:cs="宋体"/>
                <w:sz w:val="24"/>
              </w:rPr>
              <w:t>岗位设置</w:t>
            </w:r>
          </w:p>
        </w:tc>
        <w:tc>
          <w:tcPr>
            <w:tcW w:w="8132" w:type="dxa"/>
            <w:tcBorders>
              <w:top w:val="nil"/>
              <w:left w:val="nil"/>
              <w:bottom w:val="single" w:color="000000" w:sz="4" w:space="0"/>
              <w:right w:val="single" w:color="000000" w:sz="4" w:space="0"/>
            </w:tcBorders>
            <w:tcMar>
              <w:top w:w="90" w:type="dxa"/>
              <w:left w:w="90" w:type="dxa"/>
              <w:bottom w:w="90" w:type="dxa"/>
              <w:right w:w="90" w:type="dxa"/>
            </w:tcMar>
            <w:vAlign w:val="top"/>
          </w:tcPr>
          <w:p>
            <w:pPr>
              <w:pStyle w:val="18"/>
              <w:rPr>
                <w:rFonts w:hint="default"/>
              </w:rPr>
            </w:pPr>
            <w:r>
              <w:rPr>
                <w:rFonts w:ascii="宋体" w:hAnsi="宋体" w:cs="宋体"/>
                <w:sz w:val="24"/>
              </w:rPr>
              <w:t>a）应成立指导和管理网络安全工作的委员会或领导小组，其最高领导由采购人主管领导担任或授权；</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62" w:type="dxa"/>
            <w:tcBorders>
              <w:top w:val="nil"/>
              <w:left w:val="single" w:color="000000" w:sz="4" w:space="0"/>
              <w:bottom w:val="single" w:color="000000" w:sz="4" w:space="0"/>
              <w:right w:val="single" w:color="000000" w:sz="4" w:space="0"/>
            </w:tcBorders>
            <w:tcMar>
              <w:top w:w="90" w:type="dxa"/>
              <w:left w:w="90" w:type="dxa"/>
              <w:bottom w:w="90" w:type="dxa"/>
              <w:right w:w="90" w:type="dxa"/>
            </w:tcMar>
            <w:vAlign w:val="top"/>
          </w:tcPr>
          <w:p>
            <w:pPr>
              <w:pStyle w:val="18"/>
              <w:jc w:val="center"/>
              <w:rPr>
                <w:rFonts w:hint="default"/>
              </w:rPr>
            </w:pPr>
            <w:r>
              <w:rPr>
                <w:rFonts w:ascii="宋体" w:hAnsi="宋体" w:cs="宋体"/>
                <w:sz w:val="24"/>
              </w:rPr>
              <w:t>2</w:t>
            </w:r>
          </w:p>
        </w:tc>
        <w:tc>
          <w:tcPr>
            <w:tcW w:w="944" w:type="dxa"/>
            <w:vMerge w:val="continue"/>
            <w:tcBorders>
              <w:top w:val="nil"/>
              <w:left w:val="nil"/>
              <w:bottom w:val="single" w:color="000000" w:sz="4" w:space="0"/>
              <w:right w:val="single" w:color="000000" w:sz="4" w:space="0"/>
            </w:tcBorders>
            <w:vAlign w:val="top"/>
          </w:tcPr>
          <w:p/>
        </w:tc>
        <w:tc>
          <w:tcPr>
            <w:tcW w:w="8132" w:type="dxa"/>
            <w:tcBorders>
              <w:top w:val="nil"/>
              <w:left w:val="nil"/>
              <w:bottom w:val="single" w:color="000000" w:sz="4" w:space="0"/>
              <w:right w:val="single" w:color="000000" w:sz="4" w:space="0"/>
            </w:tcBorders>
            <w:tcMar>
              <w:top w:w="90" w:type="dxa"/>
              <w:left w:w="90" w:type="dxa"/>
              <w:bottom w:w="90" w:type="dxa"/>
              <w:right w:w="90" w:type="dxa"/>
            </w:tcMar>
            <w:vAlign w:val="top"/>
          </w:tcPr>
          <w:p>
            <w:pPr>
              <w:pStyle w:val="18"/>
              <w:rPr>
                <w:rFonts w:hint="default"/>
              </w:rPr>
            </w:pPr>
            <w:r>
              <w:rPr>
                <w:rFonts w:ascii="宋体" w:hAnsi="宋体" w:cs="宋体"/>
                <w:sz w:val="24"/>
              </w:rPr>
              <w:t>b）应设立网络安全管理工作的职能部门，设立安全主管、安全管理各个方面的负责人岗位，并定义各负责人的职责；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62" w:type="dxa"/>
            <w:tcBorders>
              <w:top w:val="nil"/>
              <w:left w:val="single" w:color="000000" w:sz="4" w:space="0"/>
              <w:bottom w:val="single" w:color="000000" w:sz="4" w:space="0"/>
              <w:right w:val="single" w:color="000000" w:sz="4" w:space="0"/>
            </w:tcBorders>
            <w:tcMar>
              <w:top w:w="90" w:type="dxa"/>
              <w:left w:w="90" w:type="dxa"/>
              <w:bottom w:w="90" w:type="dxa"/>
              <w:right w:w="90" w:type="dxa"/>
            </w:tcMar>
            <w:vAlign w:val="top"/>
          </w:tcPr>
          <w:p>
            <w:pPr>
              <w:pStyle w:val="18"/>
              <w:jc w:val="center"/>
              <w:rPr>
                <w:rFonts w:hint="default"/>
              </w:rPr>
            </w:pPr>
            <w:r>
              <w:rPr>
                <w:rFonts w:ascii="宋体" w:hAnsi="宋体" w:cs="宋体"/>
                <w:sz w:val="24"/>
              </w:rPr>
              <w:t>3</w:t>
            </w:r>
          </w:p>
        </w:tc>
        <w:tc>
          <w:tcPr>
            <w:tcW w:w="944" w:type="dxa"/>
            <w:vMerge w:val="continue"/>
            <w:tcBorders>
              <w:top w:val="nil"/>
              <w:left w:val="nil"/>
              <w:bottom w:val="single" w:color="000000" w:sz="4" w:space="0"/>
              <w:right w:val="single" w:color="000000" w:sz="4" w:space="0"/>
            </w:tcBorders>
            <w:vAlign w:val="top"/>
          </w:tcPr>
          <w:p/>
        </w:tc>
        <w:tc>
          <w:tcPr>
            <w:tcW w:w="8132" w:type="dxa"/>
            <w:tcBorders>
              <w:top w:val="nil"/>
              <w:left w:val="nil"/>
              <w:bottom w:val="single" w:color="000000" w:sz="4" w:space="0"/>
              <w:right w:val="single" w:color="000000" w:sz="4" w:space="0"/>
            </w:tcBorders>
            <w:tcMar>
              <w:top w:w="90" w:type="dxa"/>
              <w:left w:w="90" w:type="dxa"/>
              <w:bottom w:w="90" w:type="dxa"/>
              <w:right w:w="90" w:type="dxa"/>
            </w:tcMar>
            <w:vAlign w:val="top"/>
          </w:tcPr>
          <w:p>
            <w:pPr>
              <w:pStyle w:val="18"/>
              <w:rPr>
                <w:rFonts w:hint="default"/>
              </w:rPr>
            </w:pPr>
            <w:r>
              <w:rPr>
                <w:rFonts w:ascii="宋体" w:hAnsi="宋体" w:cs="宋体"/>
                <w:sz w:val="24"/>
              </w:rPr>
              <w:t>c）应设立系统管理员、审计管理员和安全管理员等岗位，并定义部门及各个工作岗位的职责。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62" w:type="dxa"/>
            <w:tcBorders>
              <w:top w:val="nil"/>
              <w:left w:val="single" w:color="000000" w:sz="4" w:space="0"/>
              <w:bottom w:val="single" w:color="000000" w:sz="4" w:space="0"/>
              <w:right w:val="single" w:color="000000" w:sz="4" w:space="0"/>
            </w:tcBorders>
            <w:tcMar>
              <w:top w:w="90" w:type="dxa"/>
              <w:left w:w="90" w:type="dxa"/>
              <w:bottom w:w="90" w:type="dxa"/>
              <w:right w:w="90" w:type="dxa"/>
            </w:tcMar>
            <w:vAlign w:val="top"/>
          </w:tcPr>
          <w:p>
            <w:pPr>
              <w:pStyle w:val="18"/>
              <w:jc w:val="center"/>
              <w:rPr>
                <w:rFonts w:hint="default"/>
              </w:rPr>
            </w:pPr>
            <w:r>
              <w:rPr>
                <w:rFonts w:ascii="宋体" w:hAnsi="宋体" w:cs="宋体"/>
                <w:sz w:val="24"/>
              </w:rPr>
              <w:t>4</w:t>
            </w:r>
          </w:p>
        </w:tc>
        <w:tc>
          <w:tcPr>
            <w:tcW w:w="944" w:type="dxa"/>
            <w:vMerge w:val="restart"/>
            <w:tcBorders>
              <w:top w:val="nil"/>
              <w:left w:val="nil"/>
              <w:bottom w:val="single" w:color="000000" w:sz="4" w:space="0"/>
              <w:right w:val="single" w:color="000000" w:sz="4" w:space="0"/>
            </w:tcBorders>
            <w:tcMar>
              <w:top w:w="90" w:type="dxa"/>
              <w:left w:w="90" w:type="dxa"/>
              <w:bottom w:w="90" w:type="dxa"/>
              <w:right w:w="90" w:type="dxa"/>
            </w:tcMar>
            <w:vAlign w:val="top"/>
          </w:tcPr>
          <w:p>
            <w:pPr>
              <w:pStyle w:val="18"/>
              <w:jc w:val="center"/>
              <w:rPr>
                <w:rFonts w:hint="default"/>
              </w:rPr>
            </w:pPr>
            <w:r>
              <w:rPr>
                <w:rFonts w:ascii="宋体" w:hAnsi="宋体" w:cs="宋体"/>
                <w:sz w:val="24"/>
              </w:rPr>
              <w:t>人员配备</w:t>
            </w:r>
          </w:p>
        </w:tc>
        <w:tc>
          <w:tcPr>
            <w:tcW w:w="8132" w:type="dxa"/>
            <w:tcBorders>
              <w:top w:val="nil"/>
              <w:left w:val="nil"/>
              <w:bottom w:val="single" w:color="000000" w:sz="4" w:space="0"/>
              <w:right w:val="single" w:color="000000" w:sz="4" w:space="0"/>
            </w:tcBorders>
            <w:tcMar>
              <w:top w:w="90" w:type="dxa"/>
              <w:left w:w="90" w:type="dxa"/>
              <w:bottom w:w="90" w:type="dxa"/>
              <w:right w:w="90" w:type="dxa"/>
            </w:tcMar>
            <w:vAlign w:val="top"/>
          </w:tcPr>
          <w:p>
            <w:pPr>
              <w:pStyle w:val="18"/>
              <w:rPr>
                <w:rFonts w:hint="default"/>
              </w:rPr>
            </w:pPr>
            <w:r>
              <w:rPr>
                <w:rFonts w:ascii="宋体" w:hAnsi="宋体" w:cs="宋体"/>
                <w:sz w:val="24"/>
              </w:rPr>
              <w:t>a）应配备一定数量的系统管理员、审计管理员和安全管理员等；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62" w:type="dxa"/>
            <w:tcBorders>
              <w:top w:val="nil"/>
              <w:left w:val="single" w:color="000000" w:sz="4" w:space="0"/>
              <w:bottom w:val="single" w:color="000000" w:sz="4" w:space="0"/>
              <w:right w:val="single" w:color="000000" w:sz="4" w:space="0"/>
            </w:tcBorders>
            <w:tcMar>
              <w:top w:w="90" w:type="dxa"/>
              <w:left w:w="90" w:type="dxa"/>
              <w:bottom w:w="90" w:type="dxa"/>
              <w:right w:w="90" w:type="dxa"/>
            </w:tcMar>
            <w:vAlign w:val="top"/>
          </w:tcPr>
          <w:p>
            <w:pPr>
              <w:pStyle w:val="18"/>
              <w:jc w:val="center"/>
              <w:rPr>
                <w:rFonts w:hint="default"/>
              </w:rPr>
            </w:pPr>
            <w:r>
              <w:rPr>
                <w:rFonts w:ascii="宋体" w:hAnsi="宋体" w:cs="宋体"/>
                <w:sz w:val="24"/>
              </w:rPr>
              <w:t>5</w:t>
            </w:r>
          </w:p>
        </w:tc>
        <w:tc>
          <w:tcPr>
            <w:tcW w:w="944" w:type="dxa"/>
            <w:vMerge w:val="continue"/>
            <w:tcBorders>
              <w:top w:val="nil"/>
              <w:left w:val="nil"/>
              <w:bottom w:val="single" w:color="000000" w:sz="4" w:space="0"/>
              <w:right w:val="single" w:color="000000" w:sz="4" w:space="0"/>
            </w:tcBorders>
            <w:vAlign w:val="top"/>
          </w:tcPr>
          <w:p/>
        </w:tc>
        <w:tc>
          <w:tcPr>
            <w:tcW w:w="8132" w:type="dxa"/>
            <w:tcBorders>
              <w:top w:val="nil"/>
              <w:left w:val="nil"/>
              <w:bottom w:val="single" w:color="000000" w:sz="4" w:space="0"/>
              <w:right w:val="single" w:color="000000" w:sz="4" w:space="0"/>
            </w:tcBorders>
            <w:tcMar>
              <w:top w:w="90" w:type="dxa"/>
              <w:left w:w="90" w:type="dxa"/>
              <w:bottom w:w="90" w:type="dxa"/>
              <w:right w:w="90" w:type="dxa"/>
            </w:tcMar>
            <w:vAlign w:val="top"/>
          </w:tcPr>
          <w:p>
            <w:pPr>
              <w:pStyle w:val="18"/>
              <w:rPr>
                <w:rFonts w:hint="default"/>
              </w:rPr>
            </w:pPr>
            <w:r>
              <w:rPr>
                <w:rFonts w:ascii="宋体" w:hAnsi="宋体" w:cs="宋体"/>
                <w:sz w:val="24"/>
              </w:rPr>
              <w:t>b）应配备专职安全管理员，不可兼任。</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62" w:type="dxa"/>
            <w:tcBorders>
              <w:top w:val="nil"/>
              <w:left w:val="single" w:color="000000" w:sz="4" w:space="0"/>
              <w:bottom w:val="single" w:color="000000" w:sz="4" w:space="0"/>
              <w:right w:val="single" w:color="000000" w:sz="4" w:space="0"/>
            </w:tcBorders>
            <w:tcMar>
              <w:top w:w="90" w:type="dxa"/>
              <w:left w:w="90" w:type="dxa"/>
              <w:bottom w:w="90" w:type="dxa"/>
              <w:right w:w="90" w:type="dxa"/>
            </w:tcMar>
            <w:vAlign w:val="top"/>
          </w:tcPr>
          <w:p>
            <w:pPr>
              <w:pStyle w:val="18"/>
              <w:jc w:val="center"/>
              <w:rPr>
                <w:rFonts w:hint="default"/>
              </w:rPr>
            </w:pPr>
            <w:r>
              <w:rPr>
                <w:rFonts w:ascii="宋体" w:hAnsi="宋体" w:cs="宋体"/>
                <w:sz w:val="24"/>
              </w:rPr>
              <w:t>6</w:t>
            </w:r>
          </w:p>
        </w:tc>
        <w:tc>
          <w:tcPr>
            <w:tcW w:w="944" w:type="dxa"/>
            <w:vMerge w:val="restart"/>
            <w:tcBorders>
              <w:top w:val="nil"/>
              <w:left w:val="nil"/>
              <w:bottom w:val="single" w:color="000000" w:sz="4" w:space="0"/>
              <w:right w:val="single" w:color="000000" w:sz="4" w:space="0"/>
            </w:tcBorders>
            <w:tcMar>
              <w:top w:w="90" w:type="dxa"/>
              <w:left w:w="90" w:type="dxa"/>
              <w:bottom w:w="90" w:type="dxa"/>
              <w:right w:w="90" w:type="dxa"/>
            </w:tcMar>
            <w:vAlign w:val="top"/>
          </w:tcPr>
          <w:p>
            <w:pPr>
              <w:pStyle w:val="18"/>
              <w:jc w:val="center"/>
              <w:rPr>
                <w:rFonts w:hint="default"/>
              </w:rPr>
            </w:pPr>
            <w:r>
              <w:rPr>
                <w:rFonts w:ascii="宋体" w:hAnsi="宋体" w:cs="宋体"/>
                <w:sz w:val="24"/>
              </w:rPr>
              <w:t>授权和审批</w:t>
            </w:r>
          </w:p>
        </w:tc>
        <w:tc>
          <w:tcPr>
            <w:tcW w:w="8132" w:type="dxa"/>
            <w:tcBorders>
              <w:top w:val="nil"/>
              <w:left w:val="nil"/>
              <w:bottom w:val="single" w:color="000000" w:sz="4" w:space="0"/>
              <w:right w:val="single" w:color="000000" w:sz="4" w:space="0"/>
            </w:tcBorders>
            <w:tcMar>
              <w:top w:w="90" w:type="dxa"/>
              <w:left w:w="90" w:type="dxa"/>
              <w:bottom w:w="90" w:type="dxa"/>
              <w:right w:w="90" w:type="dxa"/>
            </w:tcMar>
            <w:vAlign w:val="top"/>
          </w:tcPr>
          <w:p>
            <w:pPr>
              <w:pStyle w:val="18"/>
              <w:rPr>
                <w:rFonts w:hint="default"/>
              </w:rPr>
            </w:pPr>
            <w:r>
              <w:rPr>
                <w:rFonts w:ascii="宋体" w:hAnsi="宋体" w:cs="宋体"/>
                <w:sz w:val="24"/>
              </w:rPr>
              <w:t>a）应根据各个部门和岗位的职责明确授权审批事项、审批部门和批准人等；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62" w:type="dxa"/>
            <w:tcBorders>
              <w:top w:val="nil"/>
              <w:left w:val="single" w:color="000000" w:sz="4" w:space="0"/>
              <w:bottom w:val="single" w:color="000000" w:sz="4" w:space="0"/>
              <w:right w:val="single" w:color="000000" w:sz="4" w:space="0"/>
            </w:tcBorders>
            <w:tcMar>
              <w:top w:w="90" w:type="dxa"/>
              <w:left w:w="90" w:type="dxa"/>
              <w:bottom w:w="90" w:type="dxa"/>
              <w:right w:w="90" w:type="dxa"/>
            </w:tcMar>
            <w:vAlign w:val="top"/>
          </w:tcPr>
          <w:p>
            <w:pPr>
              <w:pStyle w:val="18"/>
              <w:jc w:val="center"/>
              <w:rPr>
                <w:rFonts w:hint="default"/>
              </w:rPr>
            </w:pPr>
            <w:r>
              <w:rPr>
                <w:rFonts w:ascii="宋体" w:hAnsi="宋体" w:cs="宋体"/>
                <w:sz w:val="24"/>
              </w:rPr>
              <w:t>7</w:t>
            </w:r>
          </w:p>
        </w:tc>
        <w:tc>
          <w:tcPr>
            <w:tcW w:w="944" w:type="dxa"/>
            <w:vMerge w:val="continue"/>
            <w:tcBorders>
              <w:top w:val="nil"/>
              <w:left w:val="nil"/>
              <w:bottom w:val="single" w:color="000000" w:sz="4" w:space="0"/>
              <w:right w:val="single" w:color="000000" w:sz="4" w:space="0"/>
            </w:tcBorders>
            <w:vAlign w:val="top"/>
          </w:tcPr>
          <w:p/>
        </w:tc>
        <w:tc>
          <w:tcPr>
            <w:tcW w:w="8132" w:type="dxa"/>
            <w:tcBorders>
              <w:top w:val="nil"/>
              <w:left w:val="nil"/>
              <w:bottom w:val="single" w:color="000000" w:sz="4" w:space="0"/>
              <w:right w:val="single" w:color="000000" w:sz="4" w:space="0"/>
            </w:tcBorders>
            <w:tcMar>
              <w:top w:w="90" w:type="dxa"/>
              <w:left w:w="90" w:type="dxa"/>
              <w:bottom w:w="90" w:type="dxa"/>
              <w:right w:w="90" w:type="dxa"/>
            </w:tcMar>
            <w:vAlign w:val="top"/>
          </w:tcPr>
          <w:p>
            <w:pPr>
              <w:pStyle w:val="18"/>
              <w:rPr>
                <w:rFonts w:hint="default"/>
              </w:rPr>
            </w:pPr>
            <w:r>
              <w:rPr>
                <w:rFonts w:ascii="宋体" w:hAnsi="宋体" w:cs="宋体"/>
                <w:sz w:val="24"/>
              </w:rPr>
              <w:t>b）应针对系统变更、重要操作、物理访问和系统接入等事项建立审批程序，按照审批程序执行审批过程，对重要活动建立逐级审批制度；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62" w:type="dxa"/>
            <w:tcBorders>
              <w:top w:val="nil"/>
              <w:left w:val="single" w:color="000000" w:sz="4" w:space="0"/>
              <w:bottom w:val="single" w:color="000000" w:sz="4" w:space="0"/>
              <w:right w:val="single" w:color="000000" w:sz="4" w:space="0"/>
            </w:tcBorders>
            <w:tcMar>
              <w:top w:w="90" w:type="dxa"/>
              <w:left w:w="90" w:type="dxa"/>
              <w:bottom w:w="90" w:type="dxa"/>
              <w:right w:w="90" w:type="dxa"/>
            </w:tcMar>
            <w:vAlign w:val="top"/>
          </w:tcPr>
          <w:p>
            <w:pPr>
              <w:pStyle w:val="18"/>
              <w:jc w:val="center"/>
              <w:rPr>
                <w:rFonts w:hint="default"/>
              </w:rPr>
            </w:pPr>
            <w:r>
              <w:rPr>
                <w:rFonts w:ascii="宋体" w:hAnsi="宋体" w:cs="宋体"/>
                <w:sz w:val="24"/>
              </w:rPr>
              <w:t>8</w:t>
            </w:r>
          </w:p>
        </w:tc>
        <w:tc>
          <w:tcPr>
            <w:tcW w:w="944" w:type="dxa"/>
            <w:vMerge w:val="continue"/>
            <w:tcBorders>
              <w:top w:val="nil"/>
              <w:left w:val="nil"/>
              <w:bottom w:val="single" w:color="000000" w:sz="4" w:space="0"/>
              <w:right w:val="single" w:color="000000" w:sz="4" w:space="0"/>
            </w:tcBorders>
            <w:vAlign w:val="top"/>
          </w:tcPr>
          <w:p/>
        </w:tc>
        <w:tc>
          <w:tcPr>
            <w:tcW w:w="8132" w:type="dxa"/>
            <w:tcBorders>
              <w:top w:val="nil"/>
              <w:left w:val="nil"/>
              <w:bottom w:val="single" w:color="000000" w:sz="4" w:space="0"/>
              <w:right w:val="single" w:color="000000" w:sz="4" w:space="0"/>
            </w:tcBorders>
            <w:tcMar>
              <w:top w:w="90" w:type="dxa"/>
              <w:left w:w="90" w:type="dxa"/>
              <w:bottom w:w="90" w:type="dxa"/>
              <w:right w:w="90" w:type="dxa"/>
            </w:tcMar>
            <w:vAlign w:val="top"/>
          </w:tcPr>
          <w:p>
            <w:pPr>
              <w:pStyle w:val="18"/>
              <w:rPr>
                <w:rFonts w:hint="default"/>
              </w:rPr>
            </w:pPr>
            <w:r>
              <w:rPr>
                <w:rFonts w:ascii="宋体" w:hAnsi="宋体" w:cs="宋体"/>
                <w:sz w:val="24"/>
              </w:rPr>
              <w:t>c）应定期审查审批事项，及时更新需授权和审批的项目、审批部门和审批人等信息。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62" w:type="dxa"/>
            <w:tcBorders>
              <w:top w:val="nil"/>
              <w:left w:val="single" w:color="000000" w:sz="4" w:space="0"/>
              <w:bottom w:val="single" w:color="000000" w:sz="4" w:space="0"/>
              <w:right w:val="single" w:color="000000" w:sz="4" w:space="0"/>
            </w:tcBorders>
            <w:tcMar>
              <w:top w:w="90" w:type="dxa"/>
              <w:left w:w="90" w:type="dxa"/>
              <w:bottom w:w="90" w:type="dxa"/>
              <w:right w:w="90" w:type="dxa"/>
            </w:tcMar>
            <w:vAlign w:val="top"/>
          </w:tcPr>
          <w:p>
            <w:pPr>
              <w:pStyle w:val="18"/>
              <w:jc w:val="center"/>
              <w:rPr>
                <w:rFonts w:hint="default"/>
              </w:rPr>
            </w:pPr>
            <w:r>
              <w:rPr>
                <w:rFonts w:ascii="宋体" w:hAnsi="宋体" w:cs="宋体"/>
                <w:sz w:val="24"/>
              </w:rPr>
              <w:t>9</w:t>
            </w:r>
          </w:p>
        </w:tc>
        <w:tc>
          <w:tcPr>
            <w:tcW w:w="944" w:type="dxa"/>
            <w:vMerge w:val="restart"/>
            <w:tcBorders>
              <w:top w:val="nil"/>
              <w:left w:val="nil"/>
              <w:bottom w:val="single" w:color="000000" w:sz="4" w:space="0"/>
              <w:right w:val="single" w:color="000000" w:sz="4" w:space="0"/>
            </w:tcBorders>
            <w:tcMar>
              <w:top w:w="90" w:type="dxa"/>
              <w:left w:w="90" w:type="dxa"/>
              <w:bottom w:w="90" w:type="dxa"/>
              <w:right w:w="90" w:type="dxa"/>
            </w:tcMar>
            <w:vAlign w:val="top"/>
          </w:tcPr>
          <w:p>
            <w:pPr>
              <w:pStyle w:val="18"/>
              <w:jc w:val="center"/>
              <w:rPr>
                <w:rFonts w:hint="default"/>
              </w:rPr>
            </w:pPr>
            <w:r>
              <w:rPr>
                <w:rFonts w:ascii="宋体" w:hAnsi="宋体" w:cs="宋体"/>
                <w:sz w:val="24"/>
              </w:rPr>
              <w:t>沟通和合作</w:t>
            </w:r>
          </w:p>
        </w:tc>
        <w:tc>
          <w:tcPr>
            <w:tcW w:w="8132" w:type="dxa"/>
            <w:tcBorders>
              <w:top w:val="nil"/>
              <w:left w:val="nil"/>
              <w:bottom w:val="single" w:color="000000" w:sz="4" w:space="0"/>
              <w:right w:val="single" w:color="000000" w:sz="4" w:space="0"/>
            </w:tcBorders>
            <w:tcMar>
              <w:top w:w="90" w:type="dxa"/>
              <w:left w:w="90" w:type="dxa"/>
              <w:bottom w:w="90" w:type="dxa"/>
              <w:right w:w="90" w:type="dxa"/>
            </w:tcMar>
            <w:vAlign w:val="top"/>
          </w:tcPr>
          <w:p>
            <w:pPr>
              <w:pStyle w:val="18"/>
              <w:rPr>
                <w:rFonts w:hint="default"/>
              </w:rPr>
            </w:pPr>
            <w:r>
              <w:rPr>
                <w:rFonts w:ascii="宋体" w:hAnsi="宋体" w:cs="宋体"/>
                <w:sz w:val="24"/>
              </w:rPr>
              <w:t>a）应加强各类管理人员、组织内部机构和网络安全管理部门之间的合作与沟通，定期召开协调会议，共同协作处理网络安全问题；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62" w:type="dxa"/>
            <w:tcBorders>
              <w:top w:val="nil"/>
              <w:left w:val="single" w:color="000000" w:sz="4" w:space="0"/>
              <w:bottom w:val="single" w:color="000000" w:sz="4" w:space="0"/>
              <w:right w:val="single" w:color="000000" w:sz="4" w:space="0"/>
            </w:tcBorders>
            <w:tcMar>
              <w:top w:w="90" w:type="dxa"/>
              <w:left w:w="90" w:type="dxa"/>
              <w:bottom w:w="90" w:type="dxa"/>
              <w:right w:w="90" w:type="dxa"/>
            </w:tcMar>
            <w:vAlign w:val="top"/>
          </w:tcPr>
          <w:p>
            <w:pPr>
              <w:pStyle w:val="18"/>
              <w:jc w:val="center"/>
              <w:rPr>
                <w:rFonts w:hint="default"/>
              </w:rPr>
            </w:pPr>
            <w:r>
              <w:rPr>
                <w:rFonts w:ascii="宋体" w:hAnsi="宋体" w:cs="宋体"/>
                <w:sz w:val="24"/>
              </w:rPr>
              <w:t>10</w:t>
            </w:r>
          </w:p>
        </w:tc>
        <w:tc>
          <w:tcPr>
            <w:tcW w:w="944" w:type="dxa"/>
            <w:vMerge w:val="continue"/>
            <w:tcBorders>
              <w:top w:val="nil"/>
              <w:left w:val="nil"/>
              <w:bottom w:val="single" w:color="000000" w:sz="4" w:space="0"/>
              <w:right w:val="single" w:color="000000" w:sz="4" w:space="0"/>
            </w:tcBorders>
            <w:vAlign w:val="top"/>
          </w:tcPr>
          <w:p/>
        </w:tc>
        <w:tc>
          <w:tcPr>
            <w:tcW w:w="8132" w:type="dxa"/>
            <w:tcBorders>
              <w:top w:val="nil"/>
              <w:left w:val="nil"/>
              <w:bottom w:val="single" w:color="000000" w:sz="4" w:space="0"/>
              <w:right w:val="single" w:color="000000" w:sz="4" w:space="0"/>
            </w:tcBorders>
            <w:tcMar>
              <w:top w:w="90" w:type="dxa"/>
              <w:left w:w="90" w:type="dxa"/>
              <w:bottom w:w="90" w:type="dxa"/>
              <w:right w:w="90" w:type="dxa"/>
            </w:tcMar>
            <w:vAlign w:val="top"/>
          </w:tcPr>
          <w:p>
            <w:pPr>
              <w:pStyle w:val="18"/>
              <w:rPr>
                <w:rFonts w:hint="default"/>
              </w:rPr>
            </w:pPr>
            <w:r>
              <w:rPr>
                <w:rFonts w:ascii="宋体" w:hAnsi="宋体" w:cs="宋体"/>
                <w:sz w:val="24"/>
              </w:rPr>
              <w:t>b）应加强与网络安全职能部门、各类供应商、业界专家及安全组织的合作与沟通；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62" w:type="dxa"/>
            <w:tcBorders>
              <w:top w:val="nil"/>
              <w:left w:val="single" w:color="000000" w:sz="4" w:space="0"/>
              <w:bottom w:val="single" w:color="000000" w:sz="4" w:space="0"/>
              <w:right w:val="single" w:color="000000" w:sz="4" w:space="0"/>
            </w:tcBorders>
            <w:tcMar>
              <w:top w:w="90" w:type="dxa"/>
              <w:left w:w="90" w:type="dxa"/>
              <w:bottom w:w="90" w:type="dxa"/>
              <w:right w:w="90" w:type="dxa"/>
            </w:tcMar>
            <w:vAlign w:val="top"/>
          </w:tcPr>
          <w:p>
            <w:pPr>
              <w:pStyle w:val="18"/>
              <w:jc w:val="center"/>
              <w:rPr>
                <w:rFonts w:hint="default"/>
              </w:rPr>
            </w:pPr>
            <w:r>
              <w:rPr>
                <w:rFonts w:ascii="宋体" w:hAnsi="宋体" w:cs="宋体"/>
                <w:sz w:val="24"/>
              </w:rPr>
              <w:t>11</w:t>
            </w:r>
          </w:p>
        </w:tc>
        <w:tc>
          <w:tcPr>
            <w:tcW w:w="944" w:type="dxa"/>
            <w:vMerge w:val="continue"/>
            <w:tcBorders>
              <w:top w:val="nil"/>
              <w:left w:val="nil"/>
              <w:bottom w:val="single" w:color="000000" w:sz="4" w:space="0"/>
              <w:right w:val="single" w:color="000000" w:sz="4" w:space="0"/>
            </w:tcBorders>
            <w:vAlign w:val="top"/>
          </w:tcPr>
          <w:p/>
        </w:tc>
        <w:tc>
          <w:tcPr>
            <w:tcW w:w="8132" w:type="dxa"/>
            <w:tcBorders>
              <w:top w:val="nil"/>
              <w:left w:val="nil"/>
              <w:bottom w:val="single" w:color="000000" w:sz="4" w:space="0"/>
              <w:right w:val="single" w:color="000000" w:sz="4" w:space="0"/>
            </w:tcBorders>
            <w:tcMar>
              <w:top w:w="90" w:type="dxa"/>
              <w:left w:w="90" w:type="dxa"/>
              <w:bottom w:w="90" w:type="dxa"/>
              <w:right w:w="90" w:type="dxa"/>
            </w:tcMar>
            <w:vAlign w:val="top"/>
          </w:tcPr>
          <w:p>
            <w:pPr>
              <w:pStyle w:val="18"/>
              <w:rPr>
                <w:rFonts w:hint="default"/>
              </w:rPr>
            </w:pPr>
            <w:r>
              <w:rPr>
                <w:rFonts w:ascii="宋体" w:hAnsi="宋体" w:cs="宋体"/>
                <w:sz w:val="24"/>
              </w:rPr>
              <w:t>c）应建立外联单位联系列表，包括外联单位名称、合作内容、联系人和联系方式等信息。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62" w:type="dxa"/>
            <w:tcBorders>
              <w:top w:val="nil"/>
              <w:left w:val="single" w:color="000000" w:sz="4" w:space="0"/>
              <w:bottom w:val="single" w:color="000000" w:sz="4" w:space="0"/>
              <w:right w:val="single" w:color="000000" w:sz="4" w:space="0"/>
            </w:tcBorders>
            <w:tcMar>
              <w:top w:w="90" w:type="dxa"/>
              <w:left w:w="90" w:type="dxa"/>
              <w:bottom w:w="90" w:type="dxa"/>
              <w:right w:w="90" w:type="dxa"/>
            </w:tcMar>
            <w:vAlign w:val="top"/>
          </w:tcPr>
          <w:p>
            <w:pPr>
              <w:pStyle w:val="18"/>
              <w:jc w:val="center"/>
              <w:rPr>
                <w:rFonts w:hint="default"/>
              </w:rPr>
            </w:pPr>
            <w:r>
              <w:rPr>
                <w:rFonts w:ascii="宋体" w:hAnsi="宋体" w:cs="宋体"/>
                <w:sz w:val="24"/>
              </w:rPr>
              <w:t>12</w:t>
            </w:r>
          </w:p>
        </w:tc>
        <w:tc>
          <w:tcPr>
            <w:tcW w:w="944" w:type="dxa"/>
            <w:vMerge w:val="restart"/>
            <w:tcBorders>
              <w:top w:val="nil"/>
              <w:left w:val="nil"/>
              <w:bottom w:val="single" w:color="000000" w:sz="4" w:space="0"/>
              <w:right w:val="single" w:color="000000" w:sz="4" w:space="0"/>
            </w:tcBorders>
            <w:tcMar>
              <w:top w:w="90" w:type="dxa"/>
              <w:left w:w="90" w:type="dxa"/>
              <w:bottom w:w="90" w:type="dxa"/>
              <w:right w:w="90" w:type="dxa"/>
            </w:tcMar>
            <w:vAlign w:val="top"/>
          </w:tcPr>
          <w:p>
            <w:pPr>
              <w:pStyle w:val="18"/>
              <w:jc w:val="center"/>
              <w:rPr>
                <w:rFonts w:hint="default"/>
              </w:rPr>
            </w:pPr>
            <w:r>
              <w:rPr>
                <w:rFonts w:ascii="宋体" w:hAnsi="宋体" w:cs="宋体"/>
                <w:sz w:val="24"/>
              </w:rPr>
              <w:t>审核和检查</w:t>
            </w:r>
          </w:p>
        </w:tc>
        <w:tc>
          <w:tcPr>
            <w:tcW w:w="8132" w:type="dxa"/>
            <w:tcBorders>
              <w:top w:val="nil"/>
              <w:left w:val="nil"/>
              <w:bottom w:val="single" w:color="000000" w:sz="4" w:space="0"/>
              <w:right w:val="single" w:color="000000" w:sz="4" w:space="0"/>
            </w:tcBorders>
            <w:tcMar>
              <w:top w:w="90" w:type="dxa"/>
              <w:left w:w="90" w:type="dxa"/>
              <w:bottom w:w="90" w:type="dxa"/>
              <w:right w:w="90" w:type="dxa"/>
            </w:tcMar>
            <w:vAlign w:val="top"/>
          </w:tcPr>
          <w:p>
            <w:pPr>
              <w:pStyle w:val="18"/>
              <w:rPr>
                <w:rFonts w:hint="default"/>
              </w:rPr>
            </w:pPr>
            <w:r>
              <w:rPr>
                <w:rFonts w:ascii="宋体" w:hAnsi="宋体" w:cs="宋体"/>
                <w:sz w:val="24"/>
              </w:rPr>
              <w:t>a）应定期进行常规安全检查，检查内容包括系统日常运行、系统漏洞和数据备份等情况；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62" w:type="dxa"/>
            <w:tcBorders>
              <w:top w:val="nil"/>
              <w:left w:val="single" w:color="000000" w:sz="4" w:space="0"/>
              <w:bottom w:val="single" w:color="000000" w:sz="4" w:space="0"/>
              <w:right w:val="single" w:color="000000" w:sz="4" w:space="0"/>
            </w:tcBorders>
            <w:tcMar>
              <w:top w:w="90" w:type="dxa"/>
              <w:left w:w="90" w:type="dxa"/>
              <w:bottom w:w="90" w:type="dxa"/>
              <w:right w:w="90" w:type="dxa"/>
            </w:tcMar>
            <w:vAlign w:val="top"/>
          </w:tcPr>
          <w:p>
            <w:pPr>
              <w:pStyle w:val="18"/>
              <w:jc w:val="center"/>
              <w:rPr>
                <w:rFonts w:hint="default"/>
              </w:rPr>
            </w:pPr>
            <w:r>
              <w:rPr>
                <w:rFonts w:ascii="宋体" w:hAnsi="宋体" w:cs="宋体"/>
                <w:sz w:val="24"/>
              </w:rPr>
              <w:t>13</w:t>
            </w:r>
          </w:p>
        </w:tc>
        <w:tc>
          <w:tcPr>
            <w:tcW w:w="944" w:type="dxa"/>
            <w:vMerge w:val="continue"/>
            <w:tcBorders>
              <w:top w:val="nil"/>
              <w:left w:val="nil"/>
              <w:bottom w:val="single" w:color="000000" w:sz="4" w:space="0"/>
              <w:right w:val="single" w:color="000000" w:sz="4" w:space="0"/>
            </w:tcBorders>
            <w:vAlign w:val="top"/>
          </w:tcPr>
          <w:p/>
        </w:tc>
        <w:tc>
          <w:tcPr>
            <w:tcW w:w="8132" w:type="dxa"/>
            <w:tcBorders>
              <w:top w:val="nil"/>
              <w:left w:val="nil"/>
              <w:bottom w:val="single" w:color="000000" w:sz="4" w:space="0"/>
              <w:right w:val="single" w:color="000000" w:sz="4" w:space="0"/>
            </w:tcBorders>
            <w:tcMar>
              <w:top w:w="90" w:type="dxa"/>
              <w:left w:w="90" w:type="dxa"/>
              <w:bottom w:w="90" w:type="dxa"/>
              <w:right w:w="90" w:type="dxa"/>
            </w:tcMar>
            <w:vAlign w:val="top"/>
          </w:tcPr>
          <w:p>
            <w:pPr>
              <w:pStyle w:val="18"/>
              <w:rPr>
                <w:rFonts w:hint="default"/>
              </w:rPr>
            </w:pPr>
            <w:r>
              <w:rPr>
                <w:rFonts w:ascii="宋体" w:hAnsi="宋体" w:cs="宋体"/>
                <w:sz w:val="24"/>
              </w:rPr>
              <w:t>b）应定期进行全面安全检查，检查内容包括现有安全技术措施的有效性、安全配置与安全策略的一致性、安全管理制度的执行情况等；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62" w:type="dxa"/>
            <w:tcBorders>
              <w:top w:val="nil"/>
              <w:left w:val="single" w:color="000000" w:sz="4" w:space="0"/>
              <w:bottom w:val="single" w:color="000000" w:sz="4" w:space="0"/>
              <w:right w:val="single" w:color="000000" w:sz="4" w:space="0"/>
            </w:tcBorders>
            <w:tcMar>
              <w:top w:w="90" w:type="dxa"/>
              <w:left w:w="90" w:type="dxa"/>
              <w:bottom w:w="90" w:type="dxa"/>
              <w:right w:w="90" w:type="dxa"/>
            </w:tcMar>
            <w:vAlign w:val="top"/>
          </w:tcPr>
          <w:p>
            <w:pPr>
              <w:pStyle w:val="18"/>
              <w:jc w:val="center"/>
              <w:rPr>
                <w:rFonts w:hint="default"/>
              </w:rPr>
            </w:pPr>
            <w:r>
              <w:rPr>
                <w:rFonts w:ascii="宋体" w:hAnsi="宋体" w:cs="宋体"/>
                <w:sz w:val="24"/>
              </w:rPr>
              <w:t>14</w:t>
            </w:r>
          </w:p>
        </w:tc>
        <w:tc>
          <w:tcPr>
            <w:tcW w:w="944" w:type="dxa"/>
            <w:vMerge w:val="continue"/>
            <w:tcBorders>
              <w:top w:val="nil"/>
              <w:left w:val="nil"/>
              <w:bottom w:val="single" w:color="000000" w:sz="4" w:space="0"/>
              <w:right w:val="single" w:color="000000" w:sz="4" w:space="0"/>
            </w:tcBorders>
            <w:vAlign w:val="top"/>
          </w:tcPr>
          <w:p/>
        </w:tc>
        <w:tc>
          <w:tcPr>
            <w:tcW w:w="8132" w:type="dxa"/>
            <w:tcBorders>
              <w:top w:val="nil"/>
              <w:left w:val="nil"/>
              <w:bottom w:val="single" w:color="000000" w:sz="4" w:space="0"/>
              <w:right w:val="single" w:color="000000" w:sz="4" w:space="0"/>
            </w:tcBorders>
            <w:tcMar>
              <w:top w:w="90" w:type="dxa"/>
              <w:left w:w="90" w:type="dxa"/>
              <w:bottom w:w="90" w:type="dxa"/>
              <w:right w:w="90" w:type="dxa"/>
            </w:tcMar>
            <w:vAlign w:val="top"/>
          </w:tcPr>
          <w:p>
            <w:pPr>
              <w:pStyle w:val="18"/>
              <w:rPr>
                <w:rFonts w:hint="default"/>
              </w:rPr>
            </w:pPr>
            <w:r>
              <w:rPr>
                <w:rFonts w:ascii="宋体" w:hAnsi="宋体" w:cs="宋体"/>
                <w:sz w:val="24"/>
              </w:rPr>
              <w:t>c）应制定安全检查表格实施安全检查，汇总安全检查数据，形成安全检查报告，并对安全检查结果进行通报。</w:t>
            </w:r>
          </w:p>
        </w:tc>
      </w:tr>
    </w:tbl>
    <w:p>
      <w:pPr>
        <w:pStyle w:val="18"/>
        <w:ind w:firstLine="482" w:firstLineChars="200"/>
        <w:jc w:val="both"/>
        <w:rPr>
          <w:rFonts w:hint="default"/>
        </w:rPr>
      </w:pPr>
      <w:r>
        <w:rPr>
          <w:rFonts w:ascii="宋体" w:hAnsi="宋体" w:cs="宋体"/>
          <w:b/>
          <w:sz w:val="24"/>
          <w:shd w:val="clear" w:color="auto" w:fill="FFFFFF"/>
        </w:rPr>
        <w:t>2.8.2.测评实施</w:t>
      </w:r>
    </w:p>
    <w:p>
      <w:pPr>
        <w:pStyle w:val="18"/>
        <w:ind w:firstLine="480"/>
        <w:jc w:val="both"/>
        <w:rPr>
          <w:rFonts w:hint="default"/>
        </w:rPr>
      </w:pPr>
      <w:r>
        <w:rPr>
          <w:rFonts w:ascii="宋体" w:hAnsi="宋体" w:cs="宋体"/>
          <w:sz w:val="24"/>
          <w:shd w:val="clear" w:color="auto" w:fill="FFFFFF"/>
        </w:rPr>
        <w:t>安全管理机构测评主要涉及安全主管、相关管理制度以及相关工作/会议记录等技术检测对象。</w:t>
      </w:r>
    </w:p>
    <w:p>
      <w:pPr>
        <w:pStyle w:val="18"/>
        <w:ind w:firstLine="482" w:firstLineChars="200"/>
        <w:jc w:val="both"/>
        <w:outlineLvl w:val="5"/>
        <w:rPr>
          <w:rFonts w:hint="default"/>
        </w:rPr>
      </w:pPr>
      <w:r>
        <w:rPr>
          <w:rFonts w:ascii="宋体" w:hAnsi="宋体" w:cs="宋体"/>
          <w:b/>
          <w:sz w:val="24"/>
          <w:shd w:val="clear" w:color="auto" w:fill="FFFFFF"/>
        </w:rPr>
        <w:t>2.9.安全管理人员测评</w:t>
      </w:r>
    </w:p>
    <w:p>
      <w:pPr>
        <w:pStyle w:val="18"/>
        <w:ind w:firstLine="482" w:firstLineChars="200"/>
        <w:jc w:val="both"/>
        <w:rPr>
          <w:rFonts w:hint="default"/>
        </w:rPr>
      </w:pPr>
      <w:r>
        <w:rPr>
          <w:rFonts w:ascii="宋体" w:hAnsi="宋体" w:cs="宋体"/>
          <w:b/>
          <w:sz w:val="24"/>
          <w:shd w:val="clear" w:color="auto" w:fill="FFFFFF"/>
        </w:rPr>
        <w:t>2.9.1.测评指标</w:t>
      </w:r>
    </w:p>
    <w:p>
      <w:pPr>
        <w:pStyle w:val="18"/>
        <w:jc w:val="center"/>
        <w:rPr>
          <w:rFonts w:hint="default"/>
        </w:rPr>
      </w:pPr>
      <w:r>
        <w:rPr>
          <w:rFonts w:ascii="宋体" w:hAnsi="宋体" w:cs="宋体"/>
          <w:sz w:val="24"/>
          <w:shd w:val="clear" w:color="auto" w:fill="FFFFFF"/>
        </w:rPr>
        <w:t>安全管理人员（通用要求）测评指标</w:t>
      </w:r>
    </w:p>
    <w:tbl>
      <w:tblPr>
        <w:tblStyle w:val="17"/>
        <w:tblW w:w="9638" w:type="dxa"/>
        <w:jc w:val="center"/>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581"/>
        <w:gridCol w:w="1600"/>
        <w:gridCol w:w="7457"/>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81" w:type="dxa"/>
            <w:tcBorders>
              <w:top w:val="single" w:color="000000" w:sz="4" w:space="0"/>
              <w:left w:val="single" w:color="000000" w:sz="4" w:space="0"/>
              <w:bottom w:val="single" w:color="000000" w:sz="4" w:space="0"/>
              <w:right w:val="single" w:color="000000" w:sz="4" w:space="0"/>
            </w:tcBorders>
            <w:shd w:val="clear" w:color="auto" w:fill="BFBFBF"/>
            <w:tcMar>
              <w:top w:w="90" w:type="dxa"/>
              <w:left w:w="90" w:type="dxa"/>
              <w:bottom w:w="90" w:type="dxa"/>
              <w:right w:w="90" w:type="dxa"/>
            </w:tcMar>
            <w:vAlign w:val="top"/>
          </w:tcPr>
          <w:p>
            <w:pPr>
              <w:pStyle w:val="18"/>
              <w:jc w:val="center"/>
              <w:rPr>
                <w:rFonts w:hint="default"/>
              </w:rPr>
            </w:pPr>
            <w:r>
              <w:rPr>
                <w:rFonts w:ascii="宋体" w:hAnsi="宋体" w:cs="宋体"/>
                <w:b/>
                <w:sz w:val="24"/>
              </w:rPr>
              <w:t>序号</w:t>
            </w:r>
          </w:p>
        </w:tc>
        <w:tc>
          <w:tcPr>
            <w:tcW w:w="1600" w:type="dxa"/>
            <w:tcBorders>
              <w:top w:val="single" w:color="000000" w:sz="4" w:space="0"/>
              <w:left w:val="nil"/>
              <w:bottom w:val="single" w:color="000000" w:sz="4" w:space="0"/>
              <w:right w:val="single" w:color="000000" w:sz="4" w:space="0"/>
            </w:tcBorders>
            <w:shd w:val="clear" w:color="auto" w:fill="BFBFBF"/>
            <w:tcMar>
              <w:top w:w="90" w:type="dxa"/>
              <w:left w:w="90" w:type="dxa"/>
              <w:bottom w:w="90" w:type="dxa"/>
              <w:right w:w="90" w:type="dxa"/>
            </w:tcMar>
            <w:vAlign w:val="top"/>
          </w:tcPr>
          <w:p>
            <w:pPr>
              <w:pStyle w:val="18"/>
              <w:jc w:val="center"/>
              <w:rPr>
                <w:rFonts w:hint="default"/>
              </w:rPr>
            </w:pPr>
            <w:r>
              <w:rPr>
                <w:rFonts w:ascii="宋体" w:hAnsi="宋体" w:cs="宋体"/>
                <w:b/>
                <w:sz w:val="24"/>
              </w:rPr>
              <w:t>安全子类</w:t>
            </w:r>
          </w:p>
        </w:tc>
        <w:tc>
          <w:tcPr>
            <w:tcW w:w="7457" w:type="dxa"/>
            <w:tcBorders>
              <w:top w:val="single" w:color="000000" w:sz="4" w:space="0"/>
              <w:left w:val="nil"/>
              <w:bottom w:val="single" w:color="000000" w:sz="4" w:space="0"/>
              <w:right w:val="single" w:color="000000" w:sz="4" w:space="0"/>
            </w:tcBorders>
            <w:shd w:val="clear" w:color="auto" w:fill="BFBFBF"/>
            <w:tcMar>
              <w:top w:w="90" w:type="dxa"/>
              <w:left w:w="90" w:type="dxa"/>
              <w:bottom w:w="90" w:type="dxa"/>
              <w:right w:w="90" w:type="dxa"/>
            </w:tcMar>
            <w:vAlign w:val="top"/>
          </w:tcPr>
          <w:p>
            <w:pPr>
              <w:pStyle w:val="18"/>
              <w:jc w:val="center"/>
              <w:rPr>
                <w:rFonts w:hint="default"/>
              </w:rPr>
            </w:pPr>
            <w:r>
              <w:rPr>
                <w:rFonts w:ascii="宋体" w:hAnsi="宋体" w:cs="宋体"/>
                <w:b/>
                <w:sz w:val="24"/>
              </w:rPr>
              <w:t>测评指标描述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81" w:type="dxa"/>
            <w:tcBorders>
              <w:top w:val="nil"/>
              <w:left w:val="single" w:color="000000" w:sz="4" w:space="0"/>
              <w:bottom w:val="single" w:color="000000" w:sz="4" w:space="0"/>
              <w:right w:val="single" w:color="000000" w:sz="4" w:space="0"/>
            </w:tcBorders>
            <w:tcMar>
              <w:top w:w="90" w:type="dxa"/>
              <w:left w:w="90" w:type="dxa"/>
              <w:bottom w:w="90" w:type="dxa"/>
              <w:right w:w="90" w:type="dxa"/>
            </w:tcMar>
            <w:vAlign w:val="top"/>
          </w:tcPr>
          <w:p>
            <w:pPr>
              <w:pStyle w:val="18"/>
              <w:jc w:val="center"/>
              <w:rPr>
                <w:rFonts w:hint="default"/>
              </w:rPr>
            </w:pPr>
            <w:r>
              <w:rPr>
                <w:rFonts w:ascii="宋体" w:hAnsi="宋体" w:cs="宋体"/>
                <w:sz w:val="24"/>
              </w:rPr>
              <w:t>1</w:t>
            </w:r>
          </w:p>
        </w:tc>
        <w:tc>
          <w:tcPr>
            <w:tcW w:w="1600" w:type="dxa"/>
            <w:vMerge w:val="restart"/>
            <w:tcBorders>
              <w:top w:val="nil"/>
              <w:left w:val="nil"/>
              <w:bottom w:val="single" w:color="000000" w:sz="4" w:space="0"/>
              <w:right w:val="single" w:color="000000" w:sz="4" w:space="0"/>
            </w:tcBorders>
            <w:tcMar>
              <w:top w:w="90" w:type="dxa"/>
              <w:left w:w="90" w:type="dxa"/>
              <w:bottom w:w="90" w:type="dxa"/>
              <w:right w:w="90" w:type="dxa"/>
            </w:tcMar>
            <w:vAlign w:val="top"/>
          </w:tcPr>
          <w:p>
            <w:pPr>
              <w:pStyle w:val="18"/>
              <w:jc w:val="center"/>
              <w:rPr>
                <w:rFonts w:hint="default"/>
              </w:rPr>
            </w:pPr>
            <w:r>
              <w:rPr>
                <w:rFonts w:ascii="宋体" w:hAnsi="宋体" w:cs="宋体"/>
                <w:sz w:val="24"/>
              </w:rPr>
              <w:t>人员录用</w:t>
            </w:r>
          </w:p>
        </w:tc>
        <w:tc>
          <w:tcPr>
            <w:tcW w:w="7457" w:type="dxa"/>
            <w:tcBorders>
              <w:top w:val="nil"/>
              <w:left w:val="nil"/>
              <w:bottom w:val="single" w:color="000000" w:sz="4" w:space="0"/>
              <w:right w:val="single" w:color="000000" w:sz="4" w:space="0"/>
            </w:tcBorders>
            <w:tcMar>
              <w:top w:w="90" w:type="dxa"/>
              <w:left w:w="90" w:type="dxa"/>
              <w:bottom w:w="90" w:type="dxa"/>
              <w:right w:w="90" w:type="dxa"/>
            </w:tcMar>
            <w:vAlign w:val="top"/>
          </w:tcPr>
          <w:p>
            <w:pPr>
              <w:pStyle w:val="18"/>
              <w:rPr>
                <w:rFonts w:hint="default"/>
              </w:rPr>
            </w:pPr>
            <w:r>
              <w:rPr>
                <w:rFonts w:ascii="宋体" w:hAnsi="宋体" w:cs="宋体"/>
                <w:sz w:val="24"/>
              </w:rPr>
              <w:t>a）应指定或授权专门的部门或人员负责人员录用；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81" w:type="dxa"/>
            <w:tcBorders>
              <w:top w:val="nil"/>
              <w:left w:val="single" w:color="000000" w:sz="4" w:space="0"/>
              <w:bottom w:val="single" w:color="000000" w:sz="4" w:space="0"/>
              <w:right w:val="single" w:color="000000" w:sz="4" w:space="0"/>
            </w:tcBorders>
            <w:tcMar>
              <w:top w:w="90" w:type="dxa"/>
              <w:left w:w="90" w:type="dxa"/>
              <w:bottom w:w="90" w:type="dxa"/>
              <w:right w:w="90" w:type="dxa"/>
            </w:tcMar>
            <w:vAlign w:val="top"/>
          </w:tcPr>
          <w:p>
            <w:pPr>
              <w:pStyle w:val="18"/>
              <w:jc w:val="center"/>
              <w:rPr>
                <w:rFonts w:hint="default"/>
              </w:rPr>
            </w:pPr>
            <w:r>
              <w:rPr>
                <w:rFonts w:ascii="宋体" w:hAnsi="宋体" w:cs="宋体"/>
                <w:sz w:val="24"/>
              </w:rPr>
              <w:t>2</w:t>
            </w:r>
          </w:p>
        </w:tc>
        <w:tc>
          <w:tcPr>
            <w:tcW w:w="1600" w:type="dxa"/>
            <w:vMerge w:val="continue"/>
            <w:tcBorders>
              <w:top w:val="nil"/>
              <w:left w:val="nil"/>
              <w:bottom w:val="single" w:color="000000" w:sz="4" w:space="0"/>
              <w:right w:val="single" w:color="000000" w:sz="4" w:space="0"/>
            </w:tcBorders>
            <w:vAlign w:val="top"/>
          </w:tcPr>
          <w:p/>
        </w:tc>
        <w:tc>
          <w:tcPr>
            <w:tcW w:w="7457" w:type="dxa"/>
            <w:tcBorders>
              <w:top w:val="nil"/>
              <w:left w:val="nil"/>
              <w:bottom w:val="single" w:color="000000" w:sz="4" w:space="0"/>
              <w:right w:val="single" w:color="000000" w:sz="4" w:space="0"/>
            </w:tcBorders>
            <w:tcMar>
              <w:top w:w="90" w:type="dxa"/>
              <w:left w:w="90" w:type="dxa"/>
              <w:bottom w:w="90" w:type="dxa"/>
              <w:right w:w="90" w:type="dxa"/>
            </w:tcMar>
            <w:vAlign w:val="top"/>
          </w:tcPr>
          <w:p>
            <w:pPr>
              <w:pStyle w:val="18"/>
              <w:rPr>
                <w:rFonts w:hint="default"/>
              </w:rPr>
            </w:pPr>
            <w:r>
              <w:rPr>
                <w:rFonts w:ascii="宋体" w:hAnsi="宋体" w:cs="宋体"/>
                <w:sz w:val="24"/>
              </w:rPr>
              <w:t>b）应对被录用人员的身份、安全背景、专业资格或资质等进行审查，对其所具有的技术技能进行考核；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81" w:type="dxa"/>
            <w:tcBorders>
              <w:top w:val="nil"/>
              <w:left w:val="single" w:color="000000" w:sz="4" w:space="0"/>
              <w:bottom w:val="single" w:color="000000" w:sz="4" w:space="0"/>
              <w:right w:val="single" w:color="000000" w:sz="4" w:space="0"/>
            </w:tcBorders>
            <w:tcMar>
              <w:top w:w="90" w:type="dxa"/>
              <w:left w:w="90" w:type="dxa"/>
              <w:bottom w:w="90" w:type="dxa"/>
              <w:right w:w="90" w:type="dxa"/>
            </w:tcMar>
            <w:vAlign w:val="top"/>
          </w:tcPr>
          <w:p>
            <w:pPr>
              <w:pStyle w:val="18"/>
              <w:jc w:val="center"/>
              <w:rPr>
                <w:rFonts w:hint="default"/>
              </w:rPr>
            </w:pPr>
            <w:r>
              <w:rPr>
                <w:rFonts w:ascii="宋体" w:hAnsi="宋体" w:cs="宋体"/>
                <w:sz w:val="24"/>
              </w:rPr>
              <w:t>3</w:t>
            </w:r>
          </w:p>
        </w:tc>
        <w:tc>
          <w:tcPr>
            <w:tcW w:w="1600" w:type="dxa"/>
            <w:vMerge w:val="continue"/>
            <w:tcBorders>
              <w:top w:val="nil"/>
              <w:left w:val="nil"/>
              <w:bottom w:val="single" w:color="000000" w:sz="4" w:space="0"/>
              <w:right w:val="single" w:color="000000" w:sz="4" w:space="0"/>
            </w:tcBorders>
            <w:vAlign w:val="top"/>
          </w:tcPr>
          <w:p/>
        </w:tc>
        <w:tc>
          <w:tcPr>
            <w:tcW w:w="7457" w:type="dxa"/>
            <w:tcBorders>
              <w:top w:val="nil"/>
              <w:left w:val="nil"/>
              <w:bottom w:val="single" w:color="000000" w:sz="4" w:space="0"/>
              <w:right w:val="single" w:color="000000" w:sz="4" w:space="0"/>
            </w:tcBorders>
            <w:tcMar>
              <w:top w:w="90" w:type="dxa"/>
              <w:left w:w="90" w:type="dxa"/>
              <w:bottom w:w="90" w:type="dxa"/>
              <w:right w:w="90" w:type="dxa"/>
            </w:tcMar>
            <w:vAlign w:val="top"/>
          </w:tcPr>
          <w:p>
            <w:pPr>
              <w:pStyle w:val="18"/>
              <w:rPr>
                <w:rFonts w:hint="default"/>
              </w:rPr>
            </w:pPr>
            <w:r>
              <w:rPr>
                <w:rFonts w:ascii="宋体" w:hAnsi="宋体" w:cs="宋体"/>
                <w:sz w:val="24"/>
              </w:rPr>
              <w:t>c）应与被录用人员签署保密协议，与关键岗位人员签署岗位责任协议。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81" w:type="dxa"/>
            <w:tcBorders>
              <w:top w:val="nil"/>
              <w:left w:val="single" w:color="000000" w:sz="4" w:space="0"/>
              <w:bottom w:val="single" w:color="000000" w:sz="4" w:space="0"/>
              <w:right w:val="single" w:color="000000" w:sz="4" w:space="0"/>
            </w:tcBorders>
            <w:tcMar>
              <w:top w:w="90" w:type="dxa"/>
              <w:left w:w="90" w:type="dxa"/>
              <w:bottom w:w="90" w:type="dxa"/>
              <w:right w:w="90" w:type="dxa"/>
            </w:tcMar>
            <w:vAlign w:val="top"/>
          </w:tcPr>
          <w:p>
            <w:pPr>
              <w:pStyle w:val="18"/>
              <w:jc w:val="center"/>
              <w:rPr>
                <w:rFonts w:hint="default"/>
              </w:rPr>
            </w:pPr>
            <w:r>
              <w:rPr>
                <w:rFonts w:ascii="宋体" w:hAnsi="宋体" w:cs="宋体"/>
                <w:sz w:val="24"/>
              </w:rPr>
              <w:t>4</w:t>
            </w:r>
          </w:p>
        </w:tc>
        <w:tc>
          <w:tcPr>
            <w:tcW w:w="1600" w:type="dxa"/>
            <w:vMerge w:val="restart"/>
            <w:tcBorders>
              <w:top w:val="nil"/>
              <w:left w:val="nil"/>
              <w:bottom w:val="single" w:color="000000" w:sz="4" w:space="0"/>
              <w:right w:val="single" w:color="000000" w:sz="4" w:space="0"/>
            </w:tcBorders>
            <w:tcMar>
              <w:top w:w="90" w:type="dxa"/>
              <w:left w:w="90" w:type="dxa"/>
              <w:bottom w:w="90" w:type="dxa"/>
              <w:right w:w="90" w:type="dxa"/>
            </w:tcMar>
            <w:vAlign w:val="top"/>
          </w:tcPr>
          <w:p>
            <w:pPr>
              <w:pStyle w:val="18"/>
              <w:jc w:val="center"/>
              <w:rPr>
                <w:rFonts w:hint="default"/>
              </w:rPr>
            </w:pPr>
            <w:r>
              <w:rPr>
                <w:rFonts w:ascii="宋体" w:hAnsi="宋体" w:cs="宋体"/>
                <w:sz w:val="24"/>
              </w:rPr>
              <w:t>人员离岗</w:t>
            </w:r>
          </w:p>
        </w:tc>
        <w:tc>
          <w:tcPr>
            <w:tcW w:w="7457" w:type="dxa"/>
            <w:tcBorders>
              <w:top w:val="nil"/>
              <w:left w:val="nil"/>
              <w:bottom w:val="single" w:color="000000" w:sz="4" w:space="0"/>
              <w:right w:val="single" w:color="000000" w:sz="4" w:space="0"/>
            </w:tcBorders>
            <w:tcMar>
              <w:top w:w="90" w:type="dxa"/>
              <w:left w:w="90" w:type="dxa"/>
              <w:bottom w:w="90" w:type="dxa"/>
              <w:right w:w="90" w:type="dxa"/>
            </w:tcMar>
            <w:vAlign w:val="top"/>
          </w:tcPr>
          <w:p>
            <w:pPr>
              <w:pStyle w:val="18"/>
              <w:rPr>
                <w:rFonts w:hint="default"/>
              </w:rPr>
            </w:pPr>
            <w:r>
              <w:rPr>
                <w:rFonts w:ascii="宋体" w:hAnsi="宋体" w:cs="宋体"/>
                <w:sz w:val="24"/>
              </w:rPr>
              <w:t>a）应及时终止离岗人员的所有访问权限，取回各种身份证件、钥匙、徽章等以及机构提供的软硬件设备；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81" w:type="dxa"/>
            <w:tcBorders>
              <w:top w:val="nil"/>
              <w:left w:val="single" w:color="000000" w:sz="4" w:space="0"/>
              <w:bottom w:val="single" w:color="000000" w:sz="4" w:space="0"/>
              <w:right w:val="single" w:color="000000" w:sz="4" w:space="0"/>
            </w:tcBorders>
            <w:tcMar>
              <w:top w:w="90" w:type="dxa"/>
              <w:left w:w="90" w:type="dxa"/>
              <w:bottom w:w="90" w:type="dxa"/>
              <w:right w:w="90" w:type="dxa"/>
            </w:tcMar>
            <w:vAlign w:val="top"/>
          </w:tcPr>
          <w:p>
            <w:pPr>
              <w:pStyle w:val="18"/>
              <w:jc w:val="center"/>
              <w:rPr>
                <w:rFonts w:hint="default"/>
              </w:rPr>
            </w:pPr>
            <w:r>
              <w:rPr>
                <w:rFonts w:ascii="宋体" w:hAnsi="宋体" w:cs="宋体"/>
                <w:sz w:val="24"/>
              </w:rPr>
              <w:t>5</w:t>
            </w:r>
          </w:p>
        </w:tc>
        <w:tc>
          <w:tcPr>
            <w:tcW w:w="1600" w:type="dxa"/>
            <w:vMerge w:val="continue"/>
            <w:tcBorders>
              <w:top w:val="nil"/>
              <w:left w:val="nil"/>
              <w:bottom w:val="single" w:color="000000" w:sz="4" w:space="0"/>
              <w:right w:val="single" w:color="000000" w:sz="4" w:space="0"/>
            </w:tcBorders>
            <w:vAlign w:val="top"/>
          </w:tcPr>
          <w:p/>
        </w:tc>
        <w:tc>
          <w:tcPr>
            <w:tcW w:w="7457" w:type="dxa"/>
            <w:tcBorders>
              <w:top w:val="nil"/>
              <w:left w:val="nil"/>
              <w:bottom w:val="single" w:color="000000" w:sz="4" w:space="0"/>
              <w:right w:val="single" w:color="000000" w:sz="4" w:space="0"/>
            </w:tcBorders>
            <w:tcMar>
              <w:top w:w="90" w:type="dxa"/>
              <w:left w:w="90" w:type="dxa"/>
              <w:bottom w:w="90" w:type="dxa"/>
              <w:right w:w="90" w:type="dxa"/>
            </w:tcMar>
            <w:vAlign w:val="top"/>
          </w:tcPr>
          <w:p>
            <w:pPr>
              <w:pStyle w:val="18"/>
              <w:rPr>
                <w:rFonts w:hint="default"/>
              </w:rPr>
            </w:pPr>
            <w:r>
              <w:rPr>
                <w:rFonts w:ascii="宋体" w:hAnsi="宋体" w:cs="宋体"/>
                <w:sz w:val="24"/>
              </w:rPr>
              <w:t>b）应办理严格的调离手续，并承诺调离后的保密义务后方可离开。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81" w:type="dxa"/>
            <w:tcBorders>
              <w:top w:val="nil"/>
              <w:left w:val="single" w:color="000000" w:sz="4" w:space="0"/>
              <w:bottom w:val="single" w:color="000000" w:sz="4" w:space="0"/>
              <w:right w:val="single" w:color="000000" w:sz="4" w:space="0"/>
            </w:tcBorders>
            <w:tcMar>
              <w:top w:w="90" w:type="dxa"/>
              <w:left w:w="90" w:type="dxa"/>
              <w:bottom w:w="90" w:type="dxa"/>
              <w:right w:w="90" w:type="dxa"/>
            </w:tcMar>
            <w:vAlign w:val="top"/>
          </w:tcPr>
          <w:p>
            <w:pPr>
              <w:pStyle w:val="18"/>
              <w:jc w:val="center"/>
              <w:rPr>
                <w:rFonts w:hint="default"/>
              </w:rPr>
            </w:pPr>
            <w:r>
              <w:rPr>
                <w:rFonts w:ascii="宋体" w:hAnsi="宋体" w:cs="宋体"/>
                <w:sz w:val="24"/>
              </w:rPr>
              <w:t>6</w:t>
            </w:r>
          </w:p>
        </w:tc>
        <w:tc>
          <w:tcPr>
            <w:tcW w:w="1600" w:type="dxa"/>
            <w:vMerge w:val="restart"/>
            <w:tcBorders>
              <w:top w:val="nil"/>
              <w:left w:val="nil"/>
              <w:bottom w:val="single" w:color="000000" w:sz="4" w:space="0"/>
              <w:right w:val="single" w:color="000000" w:sz="4" w:space="0"/>
            </w:tcBorders>
            <w:tcMar>
              <w:top w:w="90" w:type="dxa"/>
              <w:left w:w="90" w:type="dxa"/>
              <w:bottom w:w="90" w:type="dxa"/>
              <w:right w:w="90" w:type="dxa"/>
            </w:tcMar>
            <w:vAlign w:val="top"/>
          </w:tcPr>
          <w:p>
            <w:pPr>
              <w:pStyle w:val="18"/>
              <w:jc w:val="center"/>
              <w:rPr>
                <w:rFonts w:hint="default"/>
              </w:rPr>
            </w:pPr>
            <w:r>
              <w:rPr>
                <w:rFonts w:ascii="宋体" w:hAnsi="宋体" w:cs="宋体"/>
                <w:sz w:val="24"/>
              </w:rPr>
              <w:t>安全意识教育和培训</w:t>
            </w:r>
          </w:p>
        </w:tc>
        <w:tc>
          <w:tcPr>
            <w:tcW w:w="7457" w:type="dxa"/>
            <w:tcBorders>
              <w:top w:val="nil"/>
              <w:left w:val="nil"/>
              <w:bottom w:val="single" w:color="000000" w:sz="4" w:space="0"/>
              <w:right w:val="single" w:color="000000" w:sz="4" w:space="0"/>
            </w:tcBorders>
            <w:tcMar>
              <w:top w:w="90" w:type="dxa"/>
              <w:left w:w="90" w:type="dxa"/>
              <w:bottom w:w="90" w:type="dxa"/>
              <w:right w:w="90" w:type="dxa"/>
            </w:tcMar>
            <w:vAlign w:val="top"/>
          </w:tcPr>
          <w:p>
            <w:pPr>
              <w:pStyle w:val="18"/>
              <w:rPr>
                <w:rFonts w:hint="default"/>
              </w:rPr>
            </w:pPr>
            <w:r>
              <w:rPr>
                <w:rFonts w:ascii="宋体" w:hAnsi="宋体" w:cs="宋体"/>
                <w:sz w:val="24"/>
              </w:rPr>
              <w:t>a）应对各类人员进行安全意识教育和岗位技能培训，并告知相关的安全责任和惩戒措施；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81" w:type="dxa"/>
            <w:tcBorders>
              <w:top w:val="nil"/>
              <w:left w:val="single" w:color="000000" w:sz="4" w:space="0"/>
              <w:bottom w:val="single" w:color="000000" w:sz="4" w:space="0"/>
              <w:right w:val="single" w:color="000000" w:sz="4" w:space="0"/>
            </w:tcBorders>
            <w:tcMar>
              <w:top w:w="90" w:type="dxa"/>
              <w:left w:w="90" w:type="dxa"/>
              <w:bottom w:w="90" w:type="dxa"/>
              <w:right w:w="90" w:type="dxa"/>
            </w:tcMar>
            <w:vAlign w:val="top"/>
          </w:tcPr>
          <w:p>
            <w:pPr>
              <w:pStyle w:val="18"/>
              <w:jc w:val="center"/>
              <w:rPr>
                <w:rFonts w:hint="default"/>
              </w:rPr>
            </w:pPr>
            <w:r>
              <w:rPr>
                <w:rFonts w:ascii="宋体" w:hAnsi="宋体" w:cs="宋体"/>
                <w:sz w:val="24"/>
              </w:rPr>
              <w:t>7</w:t>
            </w:r>
          </w:p>
        </w:tc>
        <w:tc>
          <w:tcPr>
            <w:tcW w:w="1600" w:type="dxa"/>
            <w:vMerge w:val="continue"/>
            <w:tcBorders>
              <w:top w:val="nil"/>
              <w:left w:val="nil"/>
              <w:bottom w:val="single" w:color="000000" w:sz="4" w:space="0"/>
              <w:right w:val="single" w:color="000000" w:sz="4" w:space="0"/>
            </w:tcBorders>
            <w:vAlign w:val="top"/>
          </w:tcPr>
          <w:p/>
        </w:tc>
        <w:tc>
          <w:tcPr>
            <w:tcW w:w="7457" w:type="dxa"/>
            <w:tcBorders>
              <w:top w:val="nil"/>
              <w:left w:val="nil"/>
              <w:bottom w:val="single" w:color="000000" w:sz="4" w:space="0"/>
              <w:right w:val="single" w:color="000000" w:sz="4" w:space="0"/>
            </w:tcBorders>
            <w:tcMar>
              <w:top w:w="90" w:type="dxa"/>
              <w:left w:w="90" w:type="dxa"/>
              <w:bottom w:w="90" w:type="dxa"/>
              <w:right w:w="90" w:type="dxa"/>
            </w:tcMar>
            <w:vAlign w:val="top"/>
          </w:tcPr>
          <w:p>
            <w:pPr>
              <w:pStyle w:val="18"/>
              <w:rPr>
                <w:rFonts w:hint="default"/>
              </w:rPr>
            </w:pPr>
            <w:r>
              <w:rPr>
                <w:rFonts w:ascii="宋体" w:hAnsi="宋体" w:cs="宋体"/>
                <w:sz w:val="24"/>
              </w:rPr>
              <w:t>b）应针对不同岗位制定不同的培训计划，对安全基础知识、岗位操作规程等进行培训；</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81" w:type="dxa"/>
            <w:tcBorders>
              <w:top w:val="nil"/>
              <w:left w:val="single" w:color="000000" w:sz="4" w:space="0"/>
              <w:bottom w:val="single" w:color="000000" w:sz="4" w:space="0"/>
              <w:right w:val="single" w:color="000000" w:sz="4" w:space="0"/>
            </w:tcBorders>
            <w:tcMar>
              <w:top w:w="90" w:type="dxa"/>
              <w:left w:w="90" w:type="dxa"/>
              <w:bottom w:w="90" w:type="dxa"/>
              <w:right w:w="90" w:type="dxa"/>
            </w:tcMar>
            <w:vAlign w:val="top"/>
          </w:tcPr>
          <w:p>
            <w:pPr>
              <w:pStyle w:val="18"/>
              <w:jc w:val="center"/>
              <w:rPr>
                <w:rFonts w:hint="default"/>
              </w:rPr>
            </w:pPr>
            <w:r>
              <w:rPr>
                <w:rFonts w:ascii="宋体" w:hAnsi="宋体" w:cs="宋体"/>
                <w:sz w:val="24"/>
              </w:rPr>
              <w:t>8</w:t>
            </w:r>
          </w:p>
        </w:tc>
        <w:tc>
          <w:tcPr>
            <w:tcW w:w="1600" w:type="dxa"/>
            <w:vMerge w:val="continue"/>
            <w:tcBorders>
              <w:top w:val="nil"/>
              <w:left w:val="nil"/>
              <w:bottom w:val="single" w:color="000000" w:sz="4" w:space="0"/>
              <w:right w:val="single" w:color="000000" w:sz="4" w:space="0"/>
            </w:tcBorders>
            <w:vAlign w:val="top"/>
          </w:tcPr>
          <w:p/>
        </w:tc>
        <w:tc>
          <w:tcPr>
            <w:tcW w:w="7457" w:type="dxa"/>
            <w:tcBorders>
              <w:top w:val="nil"/>
              <w:left w:val="nil"/>
              <w:bottom w:val="single" w:color="000000" w:sz="4" w:space="0"/>
              <w:right w:val="single" w:color="000000" w:sz="4" w:space="0"/>
            </w:tcBorders>
            <w:tcMar>
              <w:top w:w="90" w:type="dxa"/>
              <w:left w:w="90" w:type="dxa"/>
              <w:bottom w:w="90" w:type="dxa"/>
              <w:right w:w="90" w:type="dxa"/>
            </w:tcMar>
            <w:vAlign w:val="top"/>
          </w:tcPr>
          <w:p>
            <w:pPr>
              <w:pStyle w:val="18"/>
              <w:rPr>
                <w:rFonts w:hint="default"/>
              </w:rPr>
            </w:pPr>
            <w:r>
              <w:rPr>
                <w:rFonts w:ascii="宋体" w:hAnsi="宋体" w:cs="宋体"/>
                <w:sz w:val="24"/>
              </w:rPr>
              <w:t>c）应定期对不同岗位的人员进行技能考核。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81" w:type="dxa"/>
            <w:tcBorders>
              <w:top w:val="nil"/>
              <w:left w:val="single" w:color="000000" w:sz="4" w:space="0"/>
              <w:bottom w:val="single" w:color="000000" w:sz="4" w:space="0"/>
              <w:right w:val="single" w:color="000000" w:sz="4" w:space="0"/>
            </w:tcBorders>
            <w:tcMar>
              <w:top w:w="90" w:type="dxa"/>
              <w:left w:w="90" w:type="dxa"/>
              <w:bottom w:w="90" w:type="dxa"/>
              <w:right w:w="90" w:type="dxa"/>
            </w:tcMar>
            <w:vAlign w:val="top"/>
          </w:tcPr>
          <w:p>
            <w:pPr>
              <w:pStyle w:val="18"/>
              <w:jc w:val="center"/>
              <w:rPr>
                <w:rFonts w:hint="default"/>
              </w:rPr>
            </w:pPr>
            <w:r>
              <w:rPr>
                <w:rFonts w:ascii="宋体" w:hAnsi="宋体" w:cs="宋体"/>
                <w:sz w:val="24"/>
              </w:rPr>
              <w:t>9</w:t>
            </w:r>
          </w:p>
        </w:tc>
        <w:tc>
          <w:tcPr>
            <w:tcW w:w="1600" w:type="dxa"/>
            <w:vMerge w:val="restart"/>
            <w:tcBorders>
              <w:top w:val="nil"/>
              <w:left w:val="nil"/>
              <w:bottom w:val="single" w:color="000000" w:sz="4" w:space="0"/>
              <w:right w:val="single" w:color="000000" w:sz="4" w:space="0"/>
            </w:tcBorders>
            <w:tcMar>
              <w:top w:w="90" w:type="dxa"/>
              <w:left w:w="90" w:type="dxa"/>
              <w:bottom w:w="90" w:type="dxa"/>
              <w:right w:w="90" w:type="dxa"/>
            </w:tcMar>
            <w:vAlign w:val="top"/>
          </w:tcPr>
          <w:p>
            <w:pPr>
              <w:pStyle w:val="18"/>
              <w:jc w:val="center"/>
              <w:rPr>
                <w:rFonts w:hint="default"/>
              </w:rPr>
            </w:pPr>
            <w:r>
              <w:rPr>
                <w:rFonts w:ascii="宋体" w:hAnsi="宋体" w:cs="宋体"/>
                <w:sz w:val="24"/>
              </w:rPr>
              <w:t>外部人员访问管理</w:t>
            </w:r>
          </w:p>
        </w:tc>
        <w:tc>
          <w:tcPr>
            <w:tcW w:w="7457" w:type="dxa"/>
            <w:tcBorders>
              <w:top w:val="nil"/>
              <w:left w:val="nil"/>
              <w:bottom w:val="single" w:color="000000" w:sz="4" w:space="0"/>
              <w:right w:val="single" w:color="000000" w:sz="4" w:space="0"/>
            </w:tcBorders>
            <w:tcMar>
              <w:top w:w="90" w:type="dxa"/>
              <w:left w:w="90" w:type="dxa"/>
              <w:bottom w:w="90" w:type="dxa"/>
              <w:right w:w="90" w:type="dxa"/>
            </w:tcMar>
            <w:vAlign w:val="top"/>
          </w:tcPr>
          <w:p>
            <w:pPr>
              <w:pStyle w:val="18"/>
              <w:rPr>
                <w:rFonts w:hint="default"/>
              </w:rPr>
            </w:pPr>
            <w:r>
              <w:rPr>
                <w:rFonts w:ascii="宋体" w:hAnsi="宋体" w:cs="宋体"/>
                <w:sz w:val="24"/>
              </w:rPr>
              <w:t>a）应在外部人员物理访问受控区域前先提出书面申请，批准后由专人全程陪同，并登记备案；</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81" w:type="dxa"/>
            <w:tcBorders>
              <w:top w:val="nil"/>
              <w:left w:val="single" w:color="000000" w:sz="4" w:space="0"/>
              <w:bottom w:val="single" w:color="000000" w:sz="4" w:space="0"/>
              <w:right w:val="single" w:color="000000" w:sz="4" w:space="0"/>
            </w:tcBorders>
            <w:tcMar>
              <w:top w:w="90" w:type="dxa"/>
              <w:left w:w="90" w:type="dxa"/>
              <w:bottom w:w="90" w:type="dxa"/>
              <w:right w:w="90" w:type="dxa"/>
            </w:tcMar>
            <w:vAlign w:val="top"/>
          </w:tcPr>
          <w:p>
            <w:pPr>
              <w:pStyle w:val="18"/>
              <w:jc w:val="center"/>
              <w:rPr>
                <w:rFonts w:hint="default"/>
              </w:rPr>
            </w:pPr>
            <w:r>
              <w:rPr>
                <w:rFonts w:ascii="宋体" w:hAnsi="宋体" w:cs="宋体"/>
                <w:sz w:val="24"/>
              </w:rPr>
              <w:t>10</w:t>
            </w:r>
          </w:p>
        </w:tc>
        <w:tc>
          <w:tcPr>
            <w:tcW w:w="1600" w:type="dxa"/>
            <w:vMerge w:val="continue"/>
            <w:tcBorders>
              <w:top w:val="nil"/>
              <w:left w:val="nil"/>
              <w:bottom w:val="single" w:color="000000" w:sz="4" w:space="0"/>
              <w:right w:val="single" w:color="000000" w:sz="4" w:space="0"/>
            </w:tcBorders>
            <w:vAlign w:val="top"/>
          </w:tcPr>
          <w:p/>
        </w:tc>
        <w:tc>
          <w:tcPr>
            <w:tcW w:w="7457" w:type="dxa"/>
            <w:tcBorders>
              <w:top w:val="nil"/>
              <w:left w:val="nil"/>
              <w:bottom w:val="single" w:color="000000" w:sz="4" w:space="0"/>
              <w:right w:val="single" w:color="000000" w:sz="4" w:space="0"/>
            </w:tcBorders>
            <w:tcMar>
              <w:top w:w="90" w:type="dxa"/>
              <w:left w:w="90" w:type="dxa"/>
              <w:bottom w:w="90" w:type="dxa"/>
              <w:right w:w="90" w:type="dxa"/>
            </w:tcMar>
            <w:vAlign w:val="top"/>
          </w:tcPr>
          <w:p>
            <w:pPr>
              <w:pStyle w:val="18"/>
              <w:rPr>
                <w:rFonts w:hint="default"/>
              </w:rPr>
            </w:pPr>
            <w:r>
              <w:rPr>
                <w:rFonts w:ascii="宋体" w:hAnsi="宋体" w:cs="宋体"/>
                <w:sz w:val="24"/>
              </w:rPr>
              <w:t>b）应在外部人员接入受控网络访问系统前先提出书面申请，批准后由专人开设账户、分配权限，并登记备案；</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81" w:type="dxa"/>
            <w:tcBorders>
              <w:top w:val="nil"/>
              <w:left w:val="single" w:color="000000" w:sz="4" w:space="0"/>
              <w:bottom w:val="single" w:color="000000" w:sz="4" w:space="0"/>
              <w:right w:val="single" w:color="000000" w:sz="4" w:space="0"/>
            </w:tcBorders>
            <w:tcMar>
              <w:top w:w="90" w:type="dxa"/>
              <w:left w:w="90" w:type="dxa"/>
              <w:bottom w:w="90" w:type="dxa"/>
              <w:right w:w="90" w:type="dxa"/>
            </w:tcMar>
            <w:vAlign w:val="top"/>
          </w:tcPr>
          <w:p>
            <w:pPr>
              <w:pStyle w:val="18"/>
              <w:jc w:val="center"/>
              <w:rPr>
                <w:rFonts w:hint="default"/>
              </w:rPr>
            </w:pPr>
            <w:r>
              <w:rPr>
                <w:rFonts w:ascii="宋体" w:hAnsi="宋体" w:cs="宋体"/>
                <w:sz w:val="24"/>
              </w:rPr>
              <w:t>11</w:t>
            </w:r>
          </w:p>
        </w:tc>
        <w:tc>
          <w:tcPr>
            <w:tcW w:w="1600" w:type="dxa"/>
            <w:vMerge w:val="continue"/>
            <w:tcBorders>
              <w:top w:val="nil"/>
              <w:left w:val="nil"/>
              <w:bottom w:val="single" w:color="000000" w:sz="4" w:space="0"/>
              <w:right w:val="single" w:color="000000" w:sz="4" w:space="0"/>
            </w:tcBorders>
            <w:vAlign w:val="top"/>
          </w:tcPr>
          <w:p/>
        </w:tc>
        <w:tc>
          <w:tcPr>
            <w:tcW w:w="7457" w:type="dxa"/>
            <w:tcBorders>
              <w:top w:val="nil"/>
              <w:left w:val="nil"/>
              <w:bottom w:val="single" w:color="000000" w:sz="4" w:space="0"/>
              <w:right w:val="single" w:color="000000" w:sz="4" w:space="0"/>
            </w:tcBorders>
            <w:tcMar>
              <w:top w:w="90" w:type="dxa"/>
              <w:left w:w="90" w:type="dxa"/>
              <w:bottom w:w="90" w:type="dxa"/>
              <w:right w:w="90" w:type="dxa"/>
            </w:tcMar>
            <w:vAlign w:val="top"/>
          </w:tcPr>
          <w:p>
            <w:pPr>
              <w:pStyle w:val="18"/>
              <w:rPr>
                <w:rFonts w:hint="default"/>
              </w:rPr>
            </w:pPr>
            <w:r>
              <w:rPr>
                <w:rFonts w:ascii="宋体" w:hAnsi="宋体" w:cs="宋体"/>
                <w:sz w:val="24"/>
              </w:rPr>
              <w:t>c）外部人员离场后应及时清除其所有的访问权限；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81" w:type="dxa"/>
            <w:tcBorders>
              <w:top w:val="nil"/>
              <w:left w:val="single" w:color="000000" w:sz="4" w:space="0"/>
              <w:bottom w:val="single" w:color="000000" w:sz="4" w:space="0"/>
              <w:right w:val="single" w:color="000000" w:sz="4" w:space="0"/>
            </w:tcBorders>
            <w:tcMar>
              <w:top w:w="90" w:type="dxa"/>
              <w:left w:w="90" w:type="dxa"/>
              <w:bottom w:w="90" w:type="dxa"/>
              <w:right w:w="90" w:type="dxa"/>
            </w:tcMar>
            <w:vAlign w:val="top"/>
          </w:tcPr>
          <w:p>
            <w:pPr>
              <w:pStyle w:val="18"/>
              <w:jc w:val="center"/>
              <w:rPr>
                <w:rFonts w:hint="default"/>
              </w:rPr>
            </w:pPr>
            <w:r>
              <w:rPr>
                <w:rFonts w:ascii="宋体" w:hAnsi="宋体" w:cs="宋体"/>
                <w:sz w:val="24"/>
              </w:rPr>
              <w:t>12</w:t>
            </w:r>
          </w:p>
        </w:tc>
        <w:tc>
          <w:tcPr>
            <w:tcW w:w="1600" w:type="dxa"/>
            <w:vMerge w:val="continue"/>
            <w:tcBorders>
              <w:top w:val="nil"/>
              <w:left w:val="nil"/>
              <w:bottom w:val="single" w:color="000000" w:sz="4" w:space="0"/>
              <w:right w:val="single" w:color="000000" w:sz="4" w:space="0"/>
            </w:tcBorders>
            <w:vAlign w:val="top"/>
          </w:tcPr>
          <w:p/>
        </w:tc>
        <w:tc>
          <w:tcPr>
            <w:tcW w:w="7457" w:type="dxa"/>
            <w:tcBorders>
              <w:top w:val="nil"/>
              <w:left w:val="nil"/>
              <w:bottom w:val="single" w:color="000000" w:sz="4" w:space="0"/>
              <w:right w:val="single" w:color="000000" w:sz="4" w:space="0"/>
            </w:tcBorders>
            <w:tcMar>
              <w:top w:w="90" w:type="dxa"/>
              <w:left w:w="90" w:type="dxa"/>
              <w:bottom w:w="90" w:type="dxa"/>
              <w:right w:w="90" w:type="dxa"/>
            </w:tcMar>
            <w:vAlign w:val="top"/>
          </w:tcPr>
          <w:p>
            <w:pPr>
              <w:pStyle w:val="18"/>
              <w:rPr>
                <w:rFonts w:hint="default"/>
              </w:rPr>
            </w:pPr>
            <w:r>
              <w:rPr>
                <w:rFonts w:ascii="宋体" w:hAnsi="宋体" w:cs="宋体"/>
                <w:sz w:val="24"/>
              </w:rPr>
              <w:t>d）获得系统访问授权的外部人员应签署保密协议，不得进行非授权操作，不得复制和泄露任何敏感信息。</w:t>
            </w:r>
          </w:p>
        </w:tc>
      </w:tr>
    </w:tbl>
    <w:p>
      <w:pPr>
        <w:pStyle w:val="18"/>
        <w:ind w:firstLine="482" w:firstLineChars="200"/>
        <w:jc w:val="both"/>
        <w:rPr>
          <w:rFonts w:hint="default"/>
        </w:rPr>
      </w:pPr>
      <w:r>
        <w:rPr>
          <w:rFonts w:ascii="宋体" w:hAnsi="宋体" w:cs="宋体"/>
          <w:b/>
          <w:sz w:val="24"/>
          <w:shd w:val="clear" w:color="auto" w:fill="FFFFFF"/>
        </w:rPr>
        <w:t>2.9.2.测评实施</w:t>
      </w:r>
    </w:p>
    <w:p>
      <w:pPr>
        <w:pStyle w:val="18"/>
        <w:ind w:firstLine="480"/>
        <w:jc w:val="both"/>
        <w:rPr>
          <w:rFonts w:hint="default"/>
        </w:rPr>
      </w:pPr>
      <w:r>
        <w:rPr>
          <w:rFonts w:ascii="宋体" w:hAnsi="宋体" w:cs="宋体"/>
          <w:sz w:val="24"/>
          <w:shd w:val="clear" w:color="auto" w:fill="FFFFFF"/>
        </w:rPr>
        <w:t>安全管理人员测评主要涉及安全主管、相关管理制度以及相关工作/会议记录等检测对象。</w:t>
      </w:r>
    </w:p>
    <w:p>
      <w:pPr>
        <w:pStyle w:val="18"/>
        <w:ind w:firstLine="482" w:firstLineChars="200"/>
        <w:jc w:val="both"/>
        <w:outlineLvl w:val="5"/>
        <w:rPr>
          <w:rFonts w:hint="default"/>
        </w:rPr>
      </w:pPr>
      <w:r>
        <w:rPr>
          <w:rFonts w:ascii="宋体" w:hAnsi="宋体" w:cs="宋体"/>
          <w:b/>
          <w:sz w:val="24"/>
          <w:shd w:val="clear" w:color="auto" w:fill="FFFFFF"/>
        </w:rPr>
        <w:t>2.10.安全建设管理测评</w:t>
      </w:r>
    </w:p>
    <w:p>
      <w:pPr>
        <w:pStyle w:val="18"/>
        <w:ind w:firstLine="482" w:firstLineChars="200"/>
        <w:jc w:val="both"/>
        <w:rPr>
          <w:rFonts w:hint="default"/>
        </w:rPr>
      </w:pPr>
      <w:r>
        <w:rPr>
          <w:rFonts w:ascii="宋体" w:hAnsi="宋体" w:cs="宋体"/>
          <w:b/>
          <w:sz w:val="24"/>
          <w:shd w:val="clear" w:color="auto" w:fill="FFFFFF"/>
        </w:rPr>
        <w:t>2.10.1.测评指标</w:t>
      </w:r>
    </w:p>
    <w:p>
      <w:pPr>
        <w:pStyle w:val="18"/>
        <w:jc w:val="center"/>
        <w:rPr>
          <w:rFonts w:hint="default"/>
        </w:rPr>
      </w:pPr>
      <w:r>
        <w:rPr>
          <w:rFonts w:ascii="宋体" w:hAnsi="宋体" w:cs="宋体"/>
          <w:sz w:val="24"/>
          <w:shd w:val="clear" w:color="auto" w:fill="FFFFFF"/>
        </w:rPr>
        <w:t>安全建设管理（通用要求）测评指标</w:t>
      </w:r>
    </w:p>
    <w:tbl>
      <w:tblPr>
        <w:tblStyle w:val="17"/>
        <w:tblW w:w="96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095"/>
        <w:gridCol w:w="7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5" w:type="dxa"/>
            <w:shd w:val="clear" w:color="auto" w:fill="BFBFBF"/>
            <w:tcMar>
              <w:top w:w="90" w:type="dxa"/>
              <w:left w:w="90" w:type="dxa"/>
              <w:bottom w:w="90" w:type="dxa"/>
              <w:right w:w="90" w:type="dxa"/>
            </w:tcMar>
            <w:vAlign w:val="top"/>
          </w:tcPr>
          <w:p>
            <w:pPr>
              <w:pStyle w:val="18"/>
              <w:jc w:val="center"/>
              <w:rPr>
                <w:rFonts w:hint="default"/>
              </w:rPr>
            </w:pPr>
            <w:r>
              <w:rPr>
                <w:rFonts w:ascii="宋体" w:hAnsi="宋体" w:cs="宋体"/>
                <w:b/>
                <w:sz w:val="24"/>
              </w:rPr>
              <w:t>序号</w:t>
            </w:r>
          </w:p>
        </w:tc>
        <w:tc>
          <w:tcPr>
            <w:tcW w:w="1095" w:type="dxa"/>
            <w:shd w:val="clear" w:color="auto" w:fill="BFBFBF"/>
            <w:tcMar>
              <w:top w:w="90" w:type="dxa"/>
              <w:left w:w="90" w:type="dxa"/>
              <w:bottom w:w="90" w:type="dxa"/>
              <w:right w:w="90" w:type="dxa"/>
            </w:tcMar>
            <w:vAlign w:val="top"/>
          </w:tcPr>
          <w:p>
            <w:pPr>
              <w:pStyle w:val="18"/>
              <w:jc w:val="center"/>
              <w:rPr>
                <w:rFonts w:hint="default"/>
              </w:rPr>
            </w:pPr>
            <w:r>
              <w:rPr>
                <w:rFonts w:ascii="宋体" w:hAnsi="宋体" w:cs="宋体"/>
                <w:b/>
                <w:sz w:val="24"/>
              </w:rPr>
              <w:t>安全子类</w:t>
            </w:r>
          </w:p>
        </w:tc>
        <w:tc>
          <w:tcPr>
            <w:tcW w:w="7998" w:type="dxa"/>
            <w:shd w:val="clear" w:color="auto" w:fill="BFBFBF"/>
            <w:tcMar>
              <w:top w:w="90" w:type="dxa"/>
              <w:left w:w="90" w:type="dxa"/>
              <w:bottom w:w="90" w:type="dxa"/>
              <w:right w:w="90" w:type="dxa"/>
            </w:tcMar>
            <w:vAlign w:val="top"/>
          </w:tcPr>
          <w:p>
            <w:pPr>
              <w:pStyle w:val="18"/>
              <w:jc w:val="center"/>
              <w:rPr>
                <w:rFonts w:hint="default"/>
              </w:rPr>
            </w:pPr>
            <w:r>
              <w:rPr>
                <w:rFonts w:ascii="宋体" w:hAnsi="宋体" w:cs="宋体"/>
                <w:b/>
                <w:sz w:val="24"/>
              </w:rPr>
              <w:t>测评指标描述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5" w:type="dxa"/>
            <w:tcMar>
              <w:top w:w="90" w:type="dxa"/>
              <w:left w:w="90" w:type="dxa"/>
              <w:bottom w:w="90" w:type="dxa"/>
              <w:right w:w="90" w:type="dxa"/>
            </w:tcMar>
            <w:vAlign w:val="top"/>
          </w:tcPr>
          <w:p>
            <w:pPr>
              <w:pStyle w:val="18"/>
              <w:jc w:val="center"/>
              <w:rPr>
                <w:rFonts w:hint="default"/>
              </w:rPr>
            </w:pPr>
            <w:r>
              <w:rPr>
                <w:rFonts w:ascii="宋体" w:hAnsi="宋体" w:cs="宋体"/>
                <w:sz w:val="24"/>
              </w:rPr>
              <w:t>1</w:t>
            </w:r>
          </w:p>
        </w:tc>
        <w:tc>
          <w:tcPr>
            <w:tcW w:w="1095" w:type="dxa"/>
            <w:vMerge w:val="restart"/>
            <w:tcMar>
              <w:top w:w="90" w:type="dxa"/>
              <w:left w:w="90" w:type="dxa"/>
              <w:bottom w:w="90" w:type="dxa"/>
              <w:right w:w="90" w:type="dxa"/>
            </w:tcMar>
            <w:vAlign w:val="top"/>
          </w:tcPr>
          <w:p>
            <w:pPr>
              <w:pStyle w:val="18"/>
              <w:jc w:val="center"/>
              <w:rPr>
                <w:rFonts w:hint="default"/>
              </w:rPr>
            </w:pPr>
            <w:r>
              <w:rPr>
                <w:rFonts w:ascii="宋体" w:hAnsi="宋体" w:cs="宋体"/>
                <w:sz w:val="24"/>
              </w:rPr>
              <w:t>定级和备案</w:t>
            </w:r>
          </w:p>
        </w:tc>
        <w:tc>
          <w:tcPr>
            <w:tcW w:w="7998" w:type="dxa"/>
            <w:tcMar>
              <w:top w:w="90" w:type="dxa"/>
              <w:left w:w="90" w:type="dxa"/>
              <w:bottom w:w="90" w:type="dxa"/>
              <w:right w:w="90" w:type="dxa"/>
            </w:tcMar>
            <w:vAlign w:val="top"/>
          </w:tcPr>
          <w:p>
            <w:pPr>
              <w:pStyle w:val="18"/>
              <w:rPr>
                <w:rFonts w:hint="default"/>
              </w:rPr>
            </w:pPr>
            <w:r>
              <w:rPr>
                <w:rFonts w:ascii="宋体" w:hAnsi="宋体" w:cs="宋体"/>
                <w:sz w:val="24"/>
              </w:rPr>
              <w:t>a）应以书面的形式说明保护对象的安全保护等级及确定等级的方法和理由；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5" w:type="dxa"/>
            <w:tcMar>
              <w:top w:w="90" w:type="dxa"/>
              <w:left w:w="90" w:type="dxa"/>
              <w:bottom w:w="90" w:type="dxa"/>
              <w:right w:w="90" w:type="dxa"/>
            </w:tcMar>
            <w:vAlign w:val="top"/>
          </w:tcPr>
          <w:p>
            <w:pPr>
              <w:pStyle w:val="18"/>
              <w:jc w:val="center"/>
              <w:rPr>
                <w:rFonts w:hint="default"/>
              </w:rPr>
            </w:pPr>
            <w:r>
              <w:rPr>
                <w:rFonts w:ascii="宋体" w:hAnsi="宋体" w:cs="宋体"/>
                <w:sz w:val="24"/>
              </w:rPr>
              <w:t>2</w:t>
            </w:r>
          </w:p>
        </w:tc>
        <w:tc>
          <w:tcPr>
            <w:tcW w:w="1095" w:type="dxa"/>
            <w:vMerge w:val="continue"/>
            <w:vAlign w:val="top"/>
          </w:tcPr>
          <w:p/>
        </w:tc>
        <w:tc>
          <w:tcPr>
            <w:tcW w:w="7998" w:type="dxa"/>
            <w:tcMar>
              <w:top w:w="90" w:type="dxa"/>
              <w:left w:w="90" w:type="dxa"/>
              <w:bottom w:w="90" w:type="dxa"/>
              <w:right w:w="90" w:type="dxa"/>
            </w:tcMar>
            <w:vAlign w:val="top"/>
          </w:tcPr>
          <w:p>
            <w:pPr>
              <w:pStyle w:val="18"/>
              <w:rPr>
                <w:rFonts w:hint="default"/>
              </w:rPr>
            </w:pPr>
            <w:r>
              <w:rPr>
                <w:rFonts w:ascii="宋体" w:hAnsi="宋体" w:cs="宋体"/>
                <w:sz w:val="24"/>
              </w:rPr>
              <w:t>b）应组织相关部门和有关安全技术专家对定级结果的合理性和正确性进行论证和审定；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5" w:type="dxa"/>
            <w:tcMar>
              <w:top w:w="90" w:type="dxa"/>
              <w:left w:w="90" w:type="dxa"/>
              <w:bottom w:w="90" w:type="dxa"/>
              <w:right w:w="90" w:type="dxa"/>
            </w:tcMar>
            <w:vAlign w:val="top"/>
          </w:tcPr>
          <w:p>
            <w:pPr>
              <w:pStyle w:val="18"/>
              <w:jc w:val="center"/>
              <w:rPr>
                <w:rFonts w:hint="default"/>
              </w:rPr>
            </w:pPr>
            <w:r>
              <w:rPr>
                <w:rFonts w:ascii="宋体" w:hAnsi="宋体" w:cs="宋体"/>
                <w:sz w:val="24"/>
              </w:rPr>
              <w:t>3</w:t>
            </w:r>
          </w:p>
        </w:tc>
        <w:tc>
          <w:tcPr>
            <w:tcW w:w="1095" w:type="dxa"/>
            <w:vMerge w:val="continue"/>
            <w:vAlign w:val="top"/>
          </w:tcPr>
          <w:p/>
        </w:tc>
        <w:tc>
          <w:tcPr>
            <w:tcW w:w="7998" w:type="dxa"/>
            <w:tcMar>
              <w:top w:w="90" w:type="dxa"/>
              <w:left w:w="90" w:type="dxa"/>
              <w:bottom w:w="90" w:type="dxa"/>
              <w:right w:w="90" w:type="dxa"/>
            </w:tcMar>
            <w:vAlign w:val="top"/>
          </w:tcPr>
          <w:p>
            <w:pPr>
              <w:pStyle w:val="18"/>
              <w:rPr>
                <w:rFonts w:hint="default"/>
              </w:rPr>
            </w:pPr>
            <w:r>
              <w:rPr>
                <w:rFonts w:ascii="宋体" w:hAnsi="宋体" w:cs="宋体"/>
                <w:sz w:val="24"/>
              </w:rPr>
              <w:t>c）应保证定级结果经过相关部门的批准；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5" w:type="dxa"/>
            <w:tcMar>
              <w:top w:w="90" w:type="dxa"/>
              <w:left w:w="90" w:type="dxa"/>
              <w:bottom w:w="90" w:type="dxa"/>
              <w:right w:w="90" w:type="dxa"/>
            </w:tcMar>
            <w:vAlign w:val="top"/>
          </w:tcPr>
          <w:p>
            <w:pPr>
              <w:pStyle w:val="18"/>
              <w:jc w:val="center"/>
              <w:rPr>
                <w:rFonts w:hint="default"/>
              </w:rPr>
            </w:pPr>
            <w:r>
              <w:rPr>
                <w:rFonts w:ascii="宋体" w:hAnsi="宋体" w:cs="宋体"/>
                <w:sz w:val="24"/>
              </w:rPr>
              <w:t>4</w:t>
            </w:r>
          </w:p>
        </w:tc>
        <w:tc>
          <w:tcPr>
            <w:tcW w:w="1095" w:type="dxa"/>
            <w:vMerge w:val="continue"/>
            <w:vAlign w:val="top"/>
          </w:tcPr>
          <w:p/>
        </w:tc>
        <w:tc>
          <w:tcPr>
            <w:tcW w:w="7998" w:type="dxa"/>
            <w:tcMar>
              <w:top w:w="90" w:type="dxa"/>
              <w:left w:w="90" w:type="dxa"/>
              <w:bottom w:w="90" w:type="dxa"/>
              <w:right w:w="90" w:type="dxa"/>
            </w:tcMar>
            <w:vAlign w:val="top"/>
          </w:tcPr>
          <w:p>
            <w:pPr>
              <w:pStyle w:val="18"/>
              <w:rPr>
                <w:rFonts w:hint="default"/>
              </w:rPr>
            </w:pPr>
            <w:r>
              <w:rPr>
                <w:rFonts w:ascii="宋体" w:hAnsi="宋体" w:cs="宋体"/>
                <w:sz w:val="24"/>
              </w:rPr>
              <w:t>d）应将备案材料报主管部门和相应公安机关备案。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5" w:type="dxa"/>
            <w:tcMar>
              <w:top w:w="90" w:type="dxa"/>
              <w:left w:w="90" w:type="dxa"/>
              <w:bottom w:w="90" w:type="dxa"/>
              <w:right w:w="90" w:type="dxa"/>
            </w:tcMar>
            <w:vAlign w:val="top"/>
          </w:tcPr>
          <w:p>
            <w:pPr>
              <w:pStyle w:val="18"/>
              <w:jc w:val="center"/>
              <w:rPr>
                <w:rFonts w:hint="default"/>
              </w:rPr>
            </w:pPr>
            <w:r>
              <w:rPr>
                <w:rFonts w:ascii="宋体" w:hAnsi="宋体" w:cs="宋体"/>
                <w:sz w:val="24"/>
              </w:rPr>
              <w:t>5</w:t>
            </w:r>
          </w:p>
        </w:tc>
        <w:tc>
          <w:tcPr>
            <w:tcW w:w="1095" w:type="dxa"/>
            <w:vMerge w:val="restart"/>
            <w:tcMar>
              <w:top w:w="90" w:type="dxa"/>
              <w:left w:w="90" w:type="dxa"/>
              <w:bottom w:w="90" w:type="dxa"/>
              <w:right w:w="90" w:type="dxa"/>
            </w:tcMar>
            <w:vAlign w:val="top"/>
          </w:tcPr>
          <w:p>
            <w:pPr>
              <w:pStyle w:val="18"/>
              <w:jc w:val="center"/>
              <w:rPr>
                <w:rFonts w:hint="default"/>
              </w:rPr>
            </w:pPr>
            <w:r>
              <w:rPr>
                <w:rFonts w:ascii="宋体" w:hAnsi="宋体" w:cs="宋体"/>
                <w:sz w:val="24"/>
              </w:rPr>
              <w:t>安全方案设计</w:t>
            </w:r>
          </w:p>
        </w:tc>
        <w:tc>
          <w:tcPr>
            <w:tcW w:w="7998" w:type="dxa"/>
            <w:tcMar>
              <w:top w:w="90" w:type="dxa"/>
              <w:left w:w="90" w:type="dxa"/>
              <w:bottom w:w="90" w:type="dxa"/>
              <w:right w:w="90" w:type="dxa"/>
            </w:tcMar>
            <w:vAlign w:val="top"/>
          </w:tcPr>
          <w:p>
            <w:pPr>
              <w:pStyle w:val="18"/>
              <w:rPr>
                <w:rFonts w:hint="default"/>
              </w:rPr>
            </w:pPr>
            <w:r>
              <w:rPr>
                <w:rFonts w:ascii="宋体" w:hAnsi="宋体" w:cs="宋体"/>
                <w:sz w:val="24"/>
              </w:rPr>
              <w:t>a）应根据安全保护等级选择基本安全措施，依据风险分析的结果补充和调整安全措施；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5" w:type="dxa"/>
            <w:tcMar>
              <w:top w:w="90" w:type="dxa"/>
              <w:left w:w="90" w:type="dxa"/>
              <w:bottom w:w="90" w:type="dxa"/>
              <w:right w:w="90" w:type="dxa"/>
            </w:tcMar>
            <w:vAlign w:val="top"/>
          </w:tcPr>
          <w:p>
            <w:pPr>
              <w:pStyle w:val="18"/>
              <w:jc w:val="center"/>
              <w:rPr>
                <w:rFonts w:hint="default"/>
              </w:rPr>
            </w:pPr>
            <w:r>
              <w:rPr>
                <w:rFonts w:ascii="宋体" w:hAnsi="宋体" w:cs="宋体"/>
                <w:sz w:val="24"/>
              </w:rPr>
              <w:t>6</w:t>
            </w:r>
          </w:p>
        </w:tc>
        <w:tc>
          <w:tcPr>
            <w:tcW w:w="1095" w:type="dxa"/>
            <w:vMerge w:val="continue"/>
            <w:vAlign w:val="top"/>
          </w:tcPr>
          <w:p/>
        </w:tc>
        <w:tc>
          <w:tcPr>
            <w:tcW w:w="7998" w:type="dxa"/>
            <w:tcMar>
              <w:top w:w="90" w:type="dxa"/>
              <w:left w:w="90" w:type="dxa"/>
              <w:bottom w:w="90" w:type="dxa"/>
              <w:right w:w="90" w:type="dxa"/>
            </w:tcMar>
            <w:vAlign w:val="top"/>
          </w:tcPr>
          <w:p>
            <w:pPr>
              <w:pStyle w:val="18"/>
              <w:rPr>
                <w:rFonts w:hint="default"/>
              </w:rPr>
            </w:pPr>
            <w:r>
              <w:rPr>
                <w:rFonts w:ascii="宋体" w:hAnsi="宋体" w:cs="宋体"/>
                <w:sz w:val="24"/>
              </w:rPr>
              <w:t>b）应根据保护对象的安全保护等级及与其他级别保护对象的关系进行安全整体规划和安全方案设计，设计内容应包含密码技术相关内容，并形成配套文件；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5" w:type="dxa"/>
            <w:tcMar>
              <w:top w:w="90" w:type="dxa"/>
              <w:left w:w="90" w:type="dxa"/>
              <w:bottom w:w="90" w:type="dxa"/>
              <w:right w:w="90" w:type="dxa"/>
            </w:tcMar>
            <w:vAlign w:val="top"/>
          </w:tcPr>
          <w:p>
            <w:pPr>
              <w:pStyle w:val="18"/>
              <w:jc w:val="center"/>
              <w:rPr>
                <w:rFonts w:hint="default"/>
              </w:rPr>
            </w:pPr>
            <w:r>
              <w:rPr>
                <w:rFonts w:ascii="宋体" w:hAnsi="宋体" w:cs="宋体"/>
                <w:sz w:val="24"/>
              </w:rPr>
              <w:t>7</w:t>
            </w:r>
          </w:p>
        </w:tc>
        <w:tc>
          <w:tcPr>
            <w:tcW w:w="1095" w:type="dxa"/>
            <w:vMerge w:val="continue"/>
            <w:vAlign w:val="top"/>
          </w:tcPr>
          <w:p/>
        </w:tc>
        <w:tc>
          <w:tcPr>
            <w:tcW w:w="7998" w:type="dxa"/>
            <w:tcMar>
              <w:top w:w="90" w:type="dxa"/>
              <w:left w:w="90" w:type="dxa"/>
              <w:bottom w:w="90" w:type="dxa"/>
              <w:right w:w="90" w:type="dxa"/>
            </w:tcMar>
            <w:vAlign w:val="top"/>
          </w:tcPr>
          <w:p>
            <w:pPr>
              <w:pStyle w:val="18"/>
              <w:rPr>
                <w:rFonts w:hint="default"/>
              </w:rPr>
            </w:pPr>
            <w:r>
              <w:rPr>
                <w:rFonts w:ascii="宋体" w:hAnsi="宋体" w:cs="宋体"/>
                <w:sz w:val="24"/>
              </w:rPr>
              <w:t>c）应组织相关部门和有关安全专家对安全整体规划及其配套文件的合理性和正确性进行论证和审定，经过批准后才能正式实施。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5" w:type="dxa"/>
            <w:tcMar>
              <w:top w:w="90" w:type="dxa"/>
              <w:left w:w="90" w:type="dxa"/>
              <w:bottom w:w="90" w:type="dxa"/>
              <w:right w:w="90" w:type="dxa"/>
            </w:tcMar>
            <w:vAlign w:val="top"/>
          </w:tcPr>
          <w:p>
            <w:pPr>
              <w:pStyle w:val="18"/>
              <w:jc w:val="center"/>
              <w:rPr>
                <w:rFonts w:hint="default"/>
              </w:rPr>
            </w:pPr>
            <w:r>
              <w:rPr>
                <w:rFonts w:ascii="宋体" w:hAnsi="宋体" w:cs="宋体"/>
                <w:sz w:val="24"/>
              </w:rPr>
              <w:t>8</w:t>
            </w:r>
          </w:p>
        </w:tc>
        <w:tc>
          <w:tcPr>
            <w:tcW w:w="1095" w:type="dxa"/>
            <w:vMerge w:val="restart"/>
            <w:tcMar>
              <w:top w:w="90" w:type="dxa"/>
              <w:left w:w="90" w:type="dxa"/>
              <w:bottom w:w="90" w:type="dxa"/>
              <w:right w:w="90" w:type="dxa"/>
            </w:tcMar>
            <w:vAlign w:val="top"/>
          </w:tcPr>
          <w:p>
            <w:pPr>
              <w:pStyle w:val="18"/>
              <w:jc w:val="center"/>
              <w:rPr>
                <w:rFonts w:hint="default"/>
              </w:rPr>
            </w:pPr>
            <w:r>
              <w:rPr>
                <w:rFonts w:ascii="宋体" w:hAnsi="宋体" w:cs="宋体"/>
                <w:sz w:val="24"/>
              </w:rPr>
              <w:t>产品采购和使用</w:t>
            </w:r>
          </w:p>
        </w:tc>
        <w:tc>
          <w:tcPr>
            <w:tcW w:w="7998" w:type="dxa"/>
            <w:tcMar>
              <w:top w:w="90" w:type="dxa"/>
              <w:left w:w="90" w:type="dxa"/>
              <w:bottom w:w="90" w:type="dxa"/>
              <w:right w:w="90" w:type="dxa"/>
            </w:tcMar>
            <w:vAlign w:val="top"/>
          </w:tcPr>
          <w:p>
            <w:pPr>
              <w:pStyle w:val="18"/>
              <w:rPr>
                <w:rFonts w:hint="default"/>
              </w:rPr>
            </w:pPr>
            <w:r>
              <w:rPr>
                <w:rFonts w:ascii="宋体" w:hAnsi="宋体" w:cs="宋体"/>
                <w:sz w:val="24"/>
              </w:rPr>
              <w:t>a）应确保网络安全产品采购和使用符合国家的有关规定；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5" w:type="dxa"/>
            <w:tcMar>
              <w:top w:w="90" w:type="dxa"/>
              <w:left w:w="90" w:type="dxa"/>
              <w:bottom w:w="90" w:type="dxa"/>
              <w:right w:w="90" w:type="dxa"/>
            </w:tcMar>
            <w:vAlign w:val="top"/>
          </w:tcPr>
          <w:p>
            <w:pPr>
              <w:pStyle w:val="18"/>
              <w:jc w:val="center"/>
              <w:rPr>
                <w:rFonts w:hint="default"/>
              </w:rPr>
            </w:pPr>
            <w:r>
              <w:rPr>
                <w:rFonts w:ascii="宋体" w:hAnsi="宋体" w:cs="宋体"/>
                <w:sz w:val="24"/>
              </w:rPr>
              <w:t>9</w:t>
            </w:r>
          </w:p>
        </w:tc>
        <w:tc>
          <w:tcPr>
            <w:tcW w:w="1095" w:type="dxa"/>
            <w:vMerge w:val="continue"/>
            <w:vAlign w:val="top"/>
          </w:tcPr>
          <w:p/>
        </w:tc>
        <w:tc>
          <w:tcPr>
            <w:tcW w:w="7998" w:type="dxa"/>
            <w:tcMar>
              <w:top w:w="90" w:type="dxa"/>
              <w:left w:w="90" w:type="dxa"/>
              <w:bottom w:w="90" w:type="dxa"/>
              <w:right w:w="90" w:type="dxa"/>
            </w:tcMar>
            <w:vAlign w:val="top"/>
          </w:tcPr>
          <w:p>
            <w:pPr>
              <w:pStyle w:val="18"/>
              <w:rPr>
                <w:rFonts w:hint="default"/>
              </w:rPr>
            </w:pPr>
            <w:r>
              <w:rPr>
                <w:rFonts w:ascii="宋体" w:hAnsi="宋体" w:cs="宋体"/>
                <w:sz w:val="24"/>
              </w:rPr>
              <w:t>b）应确保密码产品与服务的采购和使用符合国家密码管理主管部门的要求；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5" w:type="dxa"/>
            <w:tcMar>
              <w:top w:w="90" w:type="dxa"/>
              <w:left w:w="90" w:type="dxa"/>
              <w:bottom w:w="90" w:type="dxa"/>
              <w:right w:w="90" w:type="dxa"/>
            </w:tcMar>
            <w:vAlign w:val="top"/>
          </w:tcPr>
          <w:p>
            <w:pPr>
              <w:pStyle w:val="18"/>
              <w:jc w:val="center"/>
              <w:rPr>
                <w:rFonts w:hint="default"/>
              </w:rPr>
            </w:pPr>
            <w:r>
              <w:rPr>
                <w:rFonts w:ascii="宋体" w:hAnsi="宋体" w:cs="宋体"/>
                <w:sz w:val="24"/>
              </w:rPr>
              <w:t>10</w:t>
            </w:r>
          </w:p>
        </w:tc>
        <w:tc>
          <w:tcPr>
            <w:tcW w:w="1095" w:type="dxa"/>
            <w:vMerge w:val="continue"/>
            <w:vAlign w:val="top"/>
          </w:tcPr>
          <w:p/>
        </w:tc>
        <w:tc>
          <w:tcPr>
            <w:tcW w:w="7998" w:type="dxa"/>
            <w:tcMar>
              <w:top w:w="90" w:type="dxa"/>
              <w:left w:w="90" w:type="dxa"/>
              <w:bottom w:w="90" w:type="dxa"/>
              <w:right w:w="90" w:type="dxa"/>
            </w:tcMar>
            <w:vAlign w:val="top"/>
          </w:tcPr>
          <w:p>
            <w:pPr>
              <w:pStyle w:val="18"/>
              <w:rPr>
                <w:rFonts w:hint="default"/>
              </w:rPr>
            </w:pPr>
            <w:r>
              <w:rPr>
                <w:rFonts w:ascii="宋体" w:hAnsi="宋体" w:cs="宋体"/>
                <w:sz w:val="24"/>
              </w:rPr>
              <w:t>c）应预先对产品进行选型测试，确定产品的候选范围，并定期审定和更新候选产品名单。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5" w:type="dxa"/>
            <w:tcMar>
              <w:top w:w="90" w:type="dxa"/>
              <w:left w:w="90" w:type="dxa"/>
              <w:bottom w:w="90" w:type="dxa"/>
              <w:right w:w="90" w:type="dxa"/>
            </w:tcMar>
            <w:vAlign w:val="top"/>
          </w:tcPr>
          <w:p>
            <w:pPr>
              <w:pStyle w:val="18"/>
              <w:jc w:val="center"/>
              <w:rPr>
                <w:rFonts w:hint="default"/>
              </w:rPr>
            </w:pPr>
            <w:r>
              <w:rPr>
                <w:rFonts w:ascii="宋体" w:hAnsi="宋体" w:cs="宋体"/>
                <w:sz w:val="24"/>
              </w:rPr>
              <w:t>11</w:t>
            </w:r>
          </w:p>
        </w:tc>
        <w:tc>
          <w:tcPr>
            <w:tcW w:w="1095" w:type="dxa"/>
            <w:vMerge w:val="restart"/>
            <w:tcMar>
              <w:top w:w="90" w:type="dxa"/>
              <w:left w:w="90" w:type="dxa"/>
              <w:bottom w:w="90" w:type="dxa"/>
              <w:right w:w="90" w:type="dxa"/>
            </w:tcMar>
            <w:vAlign w:val="top"/>
          </w:tcPr>
          <w:p>
            <w:pPr>
              <w:pStyle w:val="18"/>
              <w:jc w:val="center"/>
              <w:rPr>
                <w:rFonts w:hint="default"/>
              </w:rPr>
            </w:pPr>
            <w:r>
              <w:rPr>
                <w:rFonts w:ascii="宋体" w:hAnsi="宋体" w:cs="宋体"/>
                <w:sz w:val="24"/>
              </w:rPr>
              <w:t>自行软件开发</w:t>
            </w:r>
          </w:p>
        </w:tc>
        <w:tc>
          <w:tcPr>
            <w:tcW w:w="7998" w:type="dxa"/>
            <w:tcMar>
              <w:top w:w="90" w:type="dxa"/>
              <w:left w:w="90" w:type="dxa"/>
              <w:bottom w:w="90" w:type="dxa"/>
              <w:right w:w="90" w:type="dxa"/>
            </w:tcMar>
            <w:vAlign w:val="top"/>
          </w:tcPr>
          <w:p>
            <w:pPr>
              <w:pStyle w:val="18"/>
              <w:rPr>
                <w:rFonts w:hint="default"/>
              </w:rPr>
            </w:pPr>
            <w:r>
              <w:rPr>
                <w:rFonts w:ascii="宋体" w:hAnsi="宋体" w:cs="宋体"/>
                <w:sz w:val="24"/>
              </w:rPr>
              <w:t>a）应将开发环境与实际运行环境物理分开，测试数据和测试结果受到控制；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5" w:type="dxa"/>
            <w:tcMar>
              <w:top w:w="90" w:type="dxa"/>
              <w:left w:w="90" w:type="dxa"/>
              <w:bottom w:w="90" w:type="dxa"/>
              <w:right w:w="90" w:type="dxa"/>
            </w:tcMar>
            <w:vAlign w:val="top"/>
          </w:tcPr>
          <w:p>
            <w:pPr>
              <w:pStyle w:val="18"/>
              <w:jc w:val="center"/>
              <w:rPr>
                <w:rFonts w:hint="default"/>
              </w:rPr>
            </w:pPr>
            <w:r>
              <w:rPr>
                <w:rFonts w:ascii="宋体" w:hAnsi="宋体" w:cs="宋体"/>
                <w:sz w:val="24"/>
              </w:rPr>
              <w:t>12</w:t>
            </w:r>
          </w:p>
        </w:tc>
        <w:tc>
          <w:tcPr>
            <w:tcW w:w="1095" w:type="dxa"/>
            <w:vMerge w:val="continue"/>
            <w:vAlign w:val="top"/>
          </w:tcPr>
          <w:p/>
        </w:tc>
        <w:tc>
          <w:tcPr>
            <w:tcW w:w="7998" w:type="dxa"/>
            <w:tcMar>
              <w:top w:w="90" w:type="dxa"/>
              <w:left w:w="90" w:type="dxa"/>
              <w:bottom w:w="90" w:type="dxa"/>
              <w:right w:w="90" w:type="dxa"/>
            </w:tcMar>
            <w:vAlign w:val="top"/>
          </w:tcPr>
          <w:p>
            <w:pPr>
              <w:pStyle w:val="18"/>
              <w:rPr>
                <w:rFonts w:hint="default"/>
              </w:rPr>
            </w:pPr>
            <w:r>
              <w:rPr>
                <w:rFonts w:ascii="宋体" w:hAnsi="宋体" w:cs="宋体"/>
                <w:sz w:val="24"/>
              </w:rPr>
              <w:t>b）应制定软件开发管理制度，明确说明开发过程的控制方法和人员行为准则；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5" w:type="dxa"/>
            <w:tcMar>
              <w:top w:w="90" w:type="dxa"/>
              <w:left w:w="90" w:type="dxa"/>
              <w:bottom w:w="90" w:type="dxa"/>
              <w:right w:w="90" w:type="dxa"/>
            </w:tcMar>
            <w:vAlign w:val="top"/>
          </w:tcPr>
          <w:p>
            <w:pPr>
              <w:pStyle w:val="18"/>
              <w:jc w:val="center"/>
              <w:rPr>
                <w:rFonts w:hint="default"/>
              </w:rPr>
            </w:pPr>
            <w:r>
              <w:rPr>
                <w:rFonts w:ascii="宋体" w:hAnsi="宋体" w:cs="宋体"/>
                <w:sz w:val="24"/>
              </w:rPr>
              <w:t>13</w:t>
            </w:r>
          </w:p>
        </w:tc>
        <w:tc>
          <w:tcPr>
            <w:tcW w:w="1095" w:type="dxa"/>
            <w:vMerge w:val="continue"/>
            <w:vAlign w:val="top"/>
          </w:tcPr>
          <w:p/>
        </w:tc>
        <w:tc>
          <w:tcPr>
            <w:tcW w:w="7998" w:type="dxa"/>
            <w:tcMar>
              <w:top w:w="90" w:type="dxa"/>
              <w:left w:w="90" w:type="dxa"/>
              <w:bottom w:w="90" w:type="dxa"/>
              <w:right w:w="90" w:type="dxa"/>
            </w:tcMar>
            <w:vAlign w:val="top"/>
          </w:tcPr>
          <w:p>
            <w:pPr>
              <w:pStyle w:val="18"/>
              <w:rPr>
                <w:rFonts w:hint="default"/>
              </w:rPr>
            </w:pPr>
            <w:r>
              <w:rPr>
                <w:rFonts w:ascii="宋体" w:hAnsi="宋体" w:cs="宋体"/>
                <w:sz w:val="24"/>
              </w:rPr>
              <w:t>c）应制定代码编写安全规范，要求开发人员参照规范编写代码；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5" w:type="dxa"/>
            <w:tcMar>
              <w:top w:w="90" w:type="dxa"/>
              <w:left w:w="90" w:type="dxa"/>
              <w:bottom w:w="90" w:type="dxa"/>
              <w:right w:w="90" w:type="dxa"/>
            </w:tcMar>
            <w:vAlign w:val="top"/>
          </w:tcPr>
          <w:p>
            <w:pPr>
              <w:pStyle w:val="18"/>
              <w:jc w:val="center"/>
              <w:rPr>
                <w:rFonts w:hint="default"/>
              </w:rPr>
            </w:pPr>
            <w:r>
              <w:rPr>
                <w:rFonts w:ascii="宋体" w:hAnsi="宋体" w:cs="宋体"/>
                <w:sz w:val="24"/>
              </w:rPr>
              <w:t>14</w:t>
            </w:r>
          </w:p>
        </w:tc>
        <w:tc>
          <w:tcPr>
            <w:tcW w:w="1095" w:type="dxa"/>
            <w:vMerge w:val="continue"/>
            <w:vAlign w:val="top"/>
          </w:tcPr>
          <w:p/>
        </w:tc>
        <w:tc>
          <w:tcPr>
            <w:tcW w:w="7998" w:type="dxa"/>
            <w:tcMar>
              <w:top w:w="90" w:type="dxa"/>
              <w:left w:w="90" w:type="dxa"/>
              <w:bottom w:w="90" w:type="dxa"/>
              <w:right w:w="90" w:type="dxa"/>
            </w:tcMar>
            <w:vAlign w:val="top"/>
          </w:tcPr>
          <w:p>
            <w:pPr>
              <w:pStyle w:val="18"/>
              <w:rPr>
                <w:rFonts w:hint="default"/>
              </w:rPr>
            </w:pPr>
            <w:r>
              <w:rPr>
                <w:rFonts w:ascii="宋体" w:hAnsi="宋体" w:cs="宋体"/>
                <w:sz w:val="24"/>
              </w:rPr>
              <w:t>d）应具备软件设计的相关文档和使用指南，并对文档使用进行控制；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5" w:type="dxa"/>
            <w:tcMar>
              <w:top w:w="90" w:type="dxa"/>
              <w:left w:w="90" w:type="dxa"/>
              <w:bottom w:w="90" w:type="dxa"/>
              <w:right w:w="90" w:type="dxa"/>
            </w:tcMar>
            <w:vAlign w:val="top"/>
          </w:tcPr>
          <w:p>
            <w:pPr>
              <w:pStyle w:val="18"/>
              <w:jc w:val="center"/>
              <w:rPr>
                <w:rFonts w:hint="default"/>
              </w:rPr>
            </w:pPr>
            <w:r>
              <w:rPr>
                <w:rFonts w:ascii="宋体" w:hAnsi="宋体" w:cs="宋体"/>
                <w:sz w:val="24"/>
              </w:rPr>
              <w:t>15</w:t>
            </w:r>
          </w:p>
        </w:tc>
        <w:tc>
          <w:tcPr>
            <w:tcW w:w="1095" w:type="dxa"/>
            <w:vMerge w:val="continue"/>
            <w:vAlign w:val="top"/>
          </w:tcPr>
          <w:p/>
        </w:tc>
        <w:tc>
          <w:tcPr>
            <w:tcW w:w="7998" w:type="dxa"/>
            <w:tcMar>
              <w:top w:w="90" w:type="dxa"/>
              <w:left w:w="90" w:type="dxa"/>
              <w:bottom w:w="90" w:type="dxa"/>
              <w:right w:w="90" w:type="dxa"/>
            </w:tcMar>
            <w:vAlign w:val="top"/>
          </w:tcPr>
          <w:p>
            <w:pPr>
              <w:pStyle w:val="18"/>
              <w:rPr>
                <w:rFonts w:hint="default"/>
              </w:rPr>
            </w:pPr>
            <w:r>
              <w:rPr>
                <w:rFonts w:ascii="宋体" w:hAnsi="宋体" w:cs="宋体"/>
                <w:sz w:val="24"/>
              </w:rPr>
              <w:t>e）应保证在软件开发过程中对安全性进行测试，在软件安装前对可能存在的恶意代码进行检测；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5" w:type="dxa"/>
            <w:tcMar>
              <w:top w:w="90" w:type="dxa"/>
              <w:left w:w="90" w:type="dxa"/>
              <w:bottom w:w="90" w:type="dxa"/>
              <w:right w:w="90" w:type="dxa"/>
            </w:tcMar>
            <w:vAlign w:val="top"/>
          </w:tcPr>
          <w:p>
            <w:pPr>
              <w:pStyle w:val="18"/>
              <w:jc w:val="center"/>
              <w:rPr>
                <w:rFonts w:hint="default"/>
              </w:rPr>
            </w:pPr>
            <w:r>
              <w:rPr>
                <w:rFonts w:ascii="宋体" w:hAnsi="宋体" w:cs="宋体"/>
                <w:sz w:val="24"/>
              </w:rPr>
              <w:t>16</w:t>
            </w:r>
          </w:p>
        </w:tc>
        <w:tc>
          <w:tcPr>
            <w:tcW w:w="1095" w:type="dxa"/>
            <w:vMerge w:val="continue"/>
            <w:vAlign w:val="top"/>
          </w:tcPr>
          <w:p/>
        </w:tc>
        <w:tc>
          <w:tcPr>
            <w:tcW w:w="7998" w:type="dxa"/>
            <w:tcMar>
              <w:top w:w="90" w:type="dxa"/>
              <w:left w:w="90" w:type="dxa"/>
              <w:bottom w:w="90" w:type="dxa"/>
              <w:right w:w="90" w:type="dxa"/>
            </w:tcMar>
            <w:vAlign w:val="top"/>
          </w:tcPr>
          <w:p>
            <w:pPr>
              <w:pStyle w:val="18"/>
              <w:rPr>
                <w:rFonts w:hint="default"/>
              </w:rPr>
            </w:pPr>
            <w:r>
              <w:rPr>
                <w:rFonts w:ascii="宋体" w:hAnsi="宋体" w:cs="宋体"/>
                <w:sz w:val="24"/>
              </w:rPr>
              <w:t>f）应对程序资源库的修改、更新、发布进行授权和批准，并严格进行版本控制；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5" w:type="dxa"/>
            <w:tcMar>
              <w:top w:w="90" w:type="dxa"/>
              <w:left w:w="90" w:type="dxa"/>
              <w:bottom w:w="90" w:type="dxa"/>
              <w:right w:w="90" w:type="dxa"/>
            </w:tcMar>
            <w:vAlign w:val="top"/>
          </w:tcPr>
          <w:p>
            <w:pPr>
              <w:pStyle w:val="18"/>
              <w:jc w:val="center"/>
              <w:rPr>
                <w:rFonts w:hint="default"/>
              </w:rPr>
            </w:pPr>
            <w:r>
              <w:rPr>
                <w:rFonts w:ascii="宋体" w:hAnsi="宋体" w:cs="宋体"/>
                <w:sz w:val="24"/>
              </w:rPr>
              <w:t>17</w:t>
            </w:r>
          </w:p>
        </w:tc>
        <w:tc>
          <w:tcPr>
            <w:tcW w:w="1095" w:type="dxa"/>
            <w:vMerge w:val="continue"/>
            <w:vAlign w:val="top"/>
          </w:tcPr>
          <w:p/>
        </w:tc>
        <w:tc>
          <w:tcPr>
            <w:tcW w:w="7998" w:type="dxa"/>
            <w:tcMar>
              <w:top w:w="90" w:type="dxa"/>
              <w:left w:w="90" w:type="dxa"/>
              <w:bottom w:w="90" w:type="dxa"/>
              <w:right w:w="90" w:type="dxa"/>
            </w:tcMar>
            <w:vAlign w:val="top"/>
          </w:tcPr>
          <w:p>
            <w:pPr>
              <w:pStyle w:val="18"/>
              <w:rPr>
                <w:rFonts w:hint="default"/>
              </w:rPr>
            </w:pPr>
            <w:r>
              <w:rPr>
                <w:rFonts w:ascii="宋体" w:hAnsi="宋体" w:cs="宋体"/>
                <w:sz w:val="24"/>
              </w:rPr>
              <w:t>g）应保证开发人员为专职人员，开发人员的开发活动受到控制、监视和审查。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5" w:type="dxa"/>
            <w:tcMar>
              <w:top w:w="90" w:type="dxa"/>
              <w:left w:w="90" w:type="dxa"/>
              <w:bottom w:w="90" w:type="dxa"/>
              <w:right w:w="90" w:type="dxa"/>
            </w:tcMar>
            <w:vAlign w:val="top"/>
          </w:tcPr>
          <w:p>
            <w:pPr>
              <w:pStyle w:val="18"/>
              <w:jc w:val="center"/>
              <w:rPr>
                <w:rFonts w:hint="default"/>
              </w:rPr>
            </w:pPr>
            <w:r>
              <w:rPr>
                <w:rFonts w:ascii="宋体" w:hAnsi="宋体" w:cs="宋体"/>
                <w:sz w:val="24"/>
              </w:rPr>
              <w:t>18</w:t>
            </w:r>
          </w:p>
        </w:tc>
        <w:tc>
          <w:tcPr>
            <w:tcW w:w="1095" w:type="dxa"/>
            <w:vMerge w:val="restart"/>
            <w:tcMar>
              <w:top w:w="90" w:type="dxa"/>
              <w:left w:w="90" w:type="dxa"/>
              <w:bottom w:w="90" w:type="dxa"/>
              <w:right w:w="90" w:type="dxa"/>
            </w:tcMar>
            <w:vAlign w:val="top"/>
          </w:tcPr>
          <w:p>
            <w:pPr>
              <w:pStyle w:val="18"/>
              <w:jc w:val="center"/>
              <w:rPr>
                <w:rFonts w:hint="default"/>
              </w:rPr>
            </w:pPr>
            <w:r>
              <w:rPr>
                <w:rFonts w:ascii="宋体" w:hAnsi="宋体" w:cs="宋体"/>
                <w:sz w:val="24"/>
              </w:rPr>
              <w:t>外包软件开发</w:t>
            </w:r>
          </w:p>
        </w:tc>
        <w:tc>
          <w:tcPr>
            <w:tcW w:w="7998" w:type="dxa"/>
            <w:tcMar>
              <w:top w:w="90" w:type="dxa"/>
              <w:left w:w="90" w:type="dxa"/>
              <w:bottom w:w="90" w:type="dxa"/>
              <w:right w:w="90" w:type="dxa"/>
            </w:tcMar>
            <w:vAlign w:val="top"/>
          </w:tcPr>
          <w:p>
            <w:pPr>
              <w:pStyle w:val="18"/>
              <w:rPr>
                <w:rFonts w:hint="default"/>
              </w:rPr>
            </w:pPr>
            <w:r>
              <w:rPr>
                <w:rFonts w:ascii="宋体" w:hAnsi="宋体" w:cs="宋体"/>
                <w:sz w:val="24"/>
              </w:rPr>
              <w:t>a）应在软件交付前检测其中可能存在的恶意代码；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5" w:type="dxa"/>
            <w:tcMar>
              <w:top w:w="90" w:type="dxa"/>
              <w:left w:w="90" w:type="dxa"/>
              <w:bottom w:w="90" w:type="dxa"/>
              <w:right w:w="90" w:type="dxa"/>
            </w:tcMar>
            <w:vAlign w:val="top"/>
          </w:tcPr>
          <w:p>
            <w:pPr>
              <w:pStyle w:val="18"/>
              <w:jc w:val="center"/>
              <w:rPr>
                <w:rFonts w:hint="default"/>
              </w:rPr>
            </w:pPr>
            <w:r>
              <w:rPr>
                <w:rFonts w:ascii="宋体" w:hAnsi="宋体" w:cs="宋体"/>
                <w:sz w:val="24"/>
              </w:rPr>
              <w:t>19</w:t>
            </w:r>
          </w:p>
        </w:tc>
        <w:tc>
          <w:tcPr>
            <w:tcW w:w="1095" w:type="dxa"/>
            <w:vMerge w:val="continue"/>
            <w:vAlign w:val="top"/>
          </w:tcPr>
          <w:p/>
        </w:tc>
        <w:tc>
          <w:tcPr>
            <w:tcW w:w="7998" w:type="dxa"/>
            <w:tcMar>
              <w:top w:w="90" w:type="dxa"/>
              <w:left w:w="90" w:type="dxa"/>
              <w:bottom w:w="90" w:type="dxa"/>
              <w:right w:w="90" w:type="dxa"/>
            </w:tcMar>
            <w:vAlign w:val="top"/>
          </w:tcPr>
          <w:p>
            <w:pPr>
              <w:pStyle w:val="18"/>
              <w:rPr>
                <w:rFonts w:hint="default"/>
              </w:rPr>
            </w:pPr>
            <w:r>
              <w:rPr>
                <w:rFonts w:ascii="宋体" w:hAnsi="宋体" w:cs="宋体"/>
                <w:sz w:val="24"/>
              </w:rPr>
              <w:t>b）应保证技术支持单位提供软件设计文档和使用指南；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5" w:type="dxa"/>
            <w:tcMar>
              <w:top w:w="90" w:type="dxa"/>
              <w:left w:w="90" w:type="dxa"/>
              <w:bottom w:w="90" w:type="dxa"/>
              <w:right w:w="90" w:type="dxa"/>
            </w:tcMar>
            <w:vAlign w:val="top"/>
          </w:tcPr>
          <w:p>
            <w:pPr>
              <w:pStyle w:val="18"/>
              <w:jc w:val="center"/>
              <w:rPr>
                <w:rFonts w:hint="default"/>
              </w:rPr>
            </w:pPr>
            <w:r>
              <w:rPr>
                <w:rFonts w:ascii="宋体" w:hAnsi="宋体" w:cs="宋体"/>
                <w:sz w:val="24"/>
              </w:rPr>
              <w:t>20</w:t>
            </w:r>
          </w:p>
        </w:tc>
        <w:tc>
          <w:tcPr>
            <w:tcW w:w="1095" w:type="dxa"/>
            <w:vMerge w:val="continue"/>
            <w:vAlign w:val="top"/>
          </w:tcPr>
          <w:p/>
        </w:tc>
        <w:tc>
          <w:tcPr>
            <w:tcW w:w="7998" w:type="dxa"/>
            <w:tcMar>
              <w:top w:w="90" w:type="dxa"/>
              <w:left w:w="90" w:type="dxa"/>
              <w:bottom w:w="90" w:type="dxa"/>
              <w:right w:w="90" w:type="dxa"/>
            </w:tcMar>
            <w:vAlign w:val="top"/>
          </w:tcPr>
          <w:p>
            <w:pPr>
              <w:pStyle w:val="18"/>
              <w:rPr>
                <w:rFonts w:hint="default"/>
              </w:rPr>
            </w:pPr>
            <w:r>
              <w:rPr>
                <w:rFonts w:ascii="宋体" w:hAnsi="宋体" w:cs="宋体"/>
                <w:sz w:val="24"/>
              </w:rPr>
              <w:t>c）应保证技术支持单位提供软件源代码，并审查软件中可能存在的后门和隐蔽信道。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5" w:type="dxa"/>
            <w:tcMar>
              <w:top w:w="90" w:type="dxa"/>
              <w:left w:w="90" w:type="dxa"/>
              <w:bottom w:w="90" w:type="dxa"/>
              <w:right w:w="90" w:type="dxa"/>
            </w:tcMar>
            <w:vAlign w:val="top"/>
          </w:tcPr>
          <w:p>
            <w:pPr>
              <w:pStyle w:val="18"/>
              <w:jc w:val="center"/>
              <w:rPr>
                <w:rFonts w:hint="default"/>
              </w:rPr>
            </w:pPr>
            <w:r>
              <w:rPr>
                <w:rFonts w:ascii="宋体" w:hAnsi="宋体" w:cs="宋体"/>
                <w:sz w:val="24"/>
              </w:rPr>
              <w:t>21</w:t>
            </w:r>
          </w:p>
        </w:tc>
        <w:tc>
          <w:tcPr>
            <w:tcW w:w="1095" w:type="dxa"/>
            <w:vMerge w:val="restart"/>
            <w:tcMar>
              <w:top w:w="90" w:type="dxa"/>
              <w:left w:w="90" w:type="dxa"/>
              <w:bottom w:w="90" w:type="dxa"/>
              <w:right w:w="90" w:type="dxa"/>
            </w:tcMar>
            <w:vAlign w:val="top"/>
          </w:tcPr>
          <w:p>
            <w:pPr>
              <w:pStyle w:val="18"/>
              <w:jc w:val="center"/>
              <w:rPr>
                <w:rFonts w:hint="default"/>
              </w:rPr>
            </w:pPr>
            <w:r>
              <w:rPr>
                <w:rFonts w:ascii="宋体" w:hAnsi="宋体" w:cs="宋体"/>
                <w:sz w:val="24"/>
              </w:rPr>
              <w:t>工程实施</w:t>
            </w:r>
          </w:p>
        </w:tc>
        <w:tc>
          <w:tcPr>
            <w:tcW w:w="7998" w:type="dxa"/>
            <w:tcMar>
              <w:top w:w="90" w:type="dxa"/>
              <w:left w:w="90" w:type="dxa"/>
              <w:bottom w:w="90" w:type="dxa"/>
              <w:right w:w="90" w:type="dxa"/>
            </w:tcMar>
            <w:vAlign w:val="top"/>
          </w:tcPr>
          <w:p>
            <w:pPr>
              <w:pStyle w:val="18"/>
              <w:rPr>
                <w:rFonts w:hint="default"/>
              </w:rPr>
            </w:pPr>
            <w:r>
              <w:rPr>
                <w:rFonts w:ascii="宋体" w:hAnsi="宋体" w:cs="宋体"/>
                <w:sz w:val="24"/>
              </w:rPr>
              <w:t>a）应指定或授权专门的部门或人员负责工程实施过程的管理；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5" w:type="dxa"/>
            <w:tcMar>
              <w:top w:w="90" w:type="dxa"/>
              <w:left w:w="90" w:type="dxa"/>
              <w:bottom w:w="90" w:type="dxa"/>
              <w:right w:w="90" w:type="dxa"/>
            </w:tcMar>
            <w:vAlign w:val="top"/>
          </w:tcPr>
          <w:p>
            <w:pPr>
              <w:pStyle w:val="18"/>
              <w:jc w:val="center"/>
              <w:rPr>
                <w:rFonts w:hint="default"/>
              </w:rPr>
            </w:pPr>
            <w:r>
              <w:rPr>
                <w:rFonts w:ascii="宋体" w:hAnsi="宋体" w:cs="宋体"/>
                <w:sz w:val="24"/>
              </w:rPr>
              <w:t>22</w:t>
            </w:r>
          </w:p>
        </w:tc>
        <w:tc>
          <w:tcPr>
            <w:tcW w:w="1095" w:type="dxa"/>
            <w:vMerge w:val="continue"/>
            <w:vAlign w:val="top"/>
          </w:tcPr>
          <w:p/>
        </w:tc>
        <w:tc>
          <w:tcPr>
            <w:tcW w:w="7998" w:type="dxa"/>
            <w:tcMar>
              <w:top w:w="90" w:type="dxa"/>
              <w:left w:w="90" w:type="dxa"/>
              <w:bottom w:w="90" w:type="dxa"/>
              <w:right w:w="90" w:type="dxa"/>
            </w:tcMar>
            <w:vAlign w:val="top"/>
          </w:tcPr>
          <w:p>
            <w:pPr>
              <w:pStyle w:val="18"/>
              <w:rPr>
                <w:rFonts w:hint="default"/>
              </w:rPr>
            </w:pPr>
            <w:r>
              <w:rPr>
                <w:rFonts w:ascii="宋体" w:hAnsi="宋体" w:cs="宋体"/>
                <w:sz w:val="24"/>
              </w:rPr>
              <w:t>b）应制定安全工程实施方案控制工程实施过程；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5" w:type="dxa"/>
            <w:tcMar>
              <w:top w:w="90" w:type="dxa"/>
              <w:left w:w="90" w:type="dxa"/>
              <w:bottom w:w="90" w:type="dxa"/>
              <w:right w:w="90" w:type="dxa"/>
            </w:tcMar>
            <w:vAlign w:val="top"/>
          </w:tcPr>
          <w:p>
            <w:pPr>
              <w:pStyle w:val="18"/>
              <w:jc w:val="center"/>
              <w:rPr>
                <w:rFonts w:hint="default"/>
              </w:rPr>
            </w:pPr>
            <w:r>
              <w:rPr>
                <w:rFonts w:ascii="宋体" w:hAnsi="宋体" w:cs="宋体"/>
                <w:sz w:val="24"/>
              </w:rPr>
              <w:t>23</w:t>
            </w:r>
          </w:p>
        </w:tc>
        <w:tc>
          <w:tcPr>
            <w:tcW w:w="1095" w:type="dxa"/>
            <w:vMerge w:val="continue"/>
            <w:vAlign w:val="top"/>
          </w:tcPr>
          <w:p/>
        </w:tc>
        <w:tc>
          <w:tcPr>
            <w:tcW w:w="7998" w:type="dxa"/>
            <w:tcMar>
              <w:top w:w="90" w:type="dxa"/>
              <w:left w:w="90" w:type="dxa"/>
              <w:bottom w:w="90" w:type="dxa"/>
              <w:right w:w="90" w:type="dxa"/>
            </w:tcMar>
            <w:vAlign w:val="top"/>
          </w:tcPr>
          <w:p>
            <w:pPr>
              <w:pStyle w:val="18"/>
              <w:rPr>
                <w:rFonts w:hint="default"/>
              </w:rPr>
            </w:pPr>
            <w:r>
              <w:rPr>
                <w:rFonts w:ascii="宋体" w:hAnsi="宋体" w:cs="宋体"/>
                <w:sz w:val="24"/>
              </w:rPr>
              <w:t>c）应通过第三方工程监理控制项目的实施过程。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5" w:type="dxa"/>
            <w:tcMar>
              <w:top w:w="90" w:type="dxa"/>
              <w:left w:w="90" w:type="dxa"/>
              <w:bottom w:w="90" w:type="dxa"/>
              <w:right w:w="90" w:type="dxa"/>
            </w:tcMar>
            <w:vAlign w:val="top"/>
          </w:tcPr>
          <w:p>
            <w:pPr>
              <w:pStyle w:val="18"/>
              <w:jc w:val="center"/>
              <w:rPr>
                <w:rFonts w:hint="default"/>
              </w:rPr>
            </w:pPr>
            <w:r>
              <w:rPr>
                <w:rFonts w:ascii="宋体" w:hAnsi="宋体" w:cs="宋体"/>
                <w:sz w:val="24"/>
              </w:rPr>
              <w:t>24</w:t>
            </w:r>
          </w:p>
        </w:tc>
        <w:tc>
          <w:tcPr>
            <w:tcW w:w="1095" w:type="dxa"/>
            <w:vMerge w:val="restart"/>
            <w:tcMar>
              <w:top w:w="90" w:type="dxa"/>
              <w:left w:w="90" w:type="dxa"/>
              <w:bottom w:w="90" w:type="dxa"/>
              <w:right w:w="90" w:type="dxa"/>
            </w:tcMar>
            <w:vAlign w:val="top"/>
          </w:tcPr>
          <w:p>
            <w:pPr>
              <w:pStyle w:val="18"/>
              <w:jc w:val="center"/>
              <w:rPr>
                <w:rFonts w:hint="default"/>
              </w:rPr>
            </w:pPr>
            <w:r>
              <w:rPr>
                <w:rFonts w:ascii="宋体" w:hAnsi="宋体" w:cs="宋体"/>
                <w:sz w:val="24"/>
              </w:rPr>
              <w:t>测试验收</w:t>
            </w:r>
          </w:p>
        </w:tc>
        <w:tc>
          <w:tcPr>
            <w:tcW w:w="7998" w:type="dxa"/>
            <w:tcMar>
              <w:top w:w="90" w:type="dxa"/>
              <w:left w:w="90" w:type="dxa"/>
              <w:bottom w:w="90" w:type="dxa"/>
              <w:right w:w="90" w:type="dxa"/>
            </w:tcMar>
            <w:vAlign w:val="top"/>
          </w:tcPr>
          <w:p>
            <w:pPr>
              <w:pStyle w:val="18"/>
              <w:rPr>
                <w:rFonts w:hint="default"/>
              </w:rPr>
            </w:pPr>
            <w:r>
              <w:rPr>
                <w:rFonts w:ascii="宋体" w:hAnsi="宋体" w:cs="宋体"/>
                <w:sz w:val="24"/>
              </w:rPr>
              <w:t>a）应制订测试验收方案，并依据测试验收方案实施测试验收，形成测试验收报告；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5" w:type="dxa"/>
            <w:tcMar>
              <w:top w:w="90" w:type="dxa"/>
              <w:left w:w="90" w:type="dxa"/>
              <w:bottom w:w="90" w:type="dxa"/>
              <w:right w:w="90" w:type="dxa"/>
            </w:tcMar>
            <w:vAlign w:val="top"/>
          </w:tcPr>
          <w:p>
            <w:pPr>
              <w:pStyle w:val="18"/>
              <w:jc w:val="center"/>
              <w:rPr>
                <w:rFonts w:hint="default"/>
              </w:rPr>
            </w:pPr>
            <w:r>
              <w:rPr>
                <w:rFonts w:ascii="宋体" w:hAnsi="宋体" w:cs="宋体"/>
                <w:sz w:val="24"/>
              </w:rPr>
              <w:t>25</w:t>
            </w:r>
          </w:p>
        </w:tc>
        <w:tc>
          <w:tcPr>
            <w:tcW w:w="1095" w:type="dxa"/>
            <w:vMerge w:val="continue"/>
            <w:vAlign w:val="top"/>
          </w:tcPr>
          <w:p/>
        </w:tc>
        <w:tc>
          <w:tcPr>
            <w:tcW w:w="7998" w:type="dxa"/>
            <w:tcMar>
              <w:top w:w="90" w:type="dxa"/>
              <w:left w:w="90" w:type="dxa"/>
              <w:bottom w:w="90" w:type="dxa"/>
              <w:right w:w="90" w:type="dxa"/>
            </w:tcMar>
            <w:vAlign w:val="top"/>
          </w:tcPr>
          <w:p>
            <w:pPr>
              <w:pStyle w:val="18"/>
              <w:rPr>
                <w:rFonts w:hint="default"/>
              </w:rPr>
            </w:pPr>
            <w:r>
              <w:rPr>
                <w:rFonts w:ascii="宋体" w:hAnsi="宋体" w:cs="宋体"/>
                <w:sz w:val="24"/>
              </w:rPr>
              <w:t>b）应进行上线前的安全性测试，并出具安全测试报告，安全测试报告应包含密码应用安全性测试相关内容。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5" w:type="dxa"/>
            <w:tcMar>
              <w:top w:w="90" w:type="dxa"/>
              <w:left w:w="90" w:type="dxa"/>
              <w:bottom w:w="90" w:type="dxa"/>
              <w:right w:w="90" w:type="dxa"/>
            </w:tcMar>
            <w:vAlign w:val="top"/>
          </w:tcPr>
          <w:p>
            <w:pPr>
              <w:pStyle w:val="18"/>
              <w:jc w:val="center"/>
              <w:rPr>
                <w:rFonts w:hint="default"/>
              </w:rPr>
            </w:pPr>
            <w:r>
              <w:rPr>
                <w:rFonts w:ascii="宋体" w:hAnsi="宋体" w:cs="宋体"/>
                <w:sz w:val="24"/>
              </w:rPr>
              <w:t>26</w:t>
            </w:r>
          </w:p>
        </w:tc>
        <w:tc>
          <w:tcPr>
            <w:tcW w:w="1095" w:type="dxa"/>
            <w:vMerge w:val="restart"/>
            <w:tcMar>
              <w:top w:w="90" w:type="dxa"/>
              <w:left w:w="90" w:type="dxa"/>
              <w:bottom w:w="90" w:type="dxa"/>
              <w:right w:w="90" w:type="dxa"/>
            </w:tcMar>
            <w:vAlign w:val="top"/>
          </w:tcPr>
          <w:p>
            <w:pPr>
              <w:pStyle w:val="18"/>
              <w:jc w:val="center"/>
              <w:rPr>
                <w:rFonts w:hint="default"/>
              </w:rPr>
            </w:pPr>
            <w:r>
              <w:rPr>
                <w:rFonts w:ascii="宋体" w:hAnsi="宋体" w:cs="宋体"/>
                <w:sz w:val="24"/>
              </w:rPr>
              <w:t>系统交付</w:t>
            </w:r>
          </w:p>
        </w:tc>
        <w:tc>
          <w:tcPr>
            <w:tcW w:w="7998" w:type="dxa"/>
            <w:tcMar>
              <w:top w:w="90" w:type="dxa"/>
              <w:left w:w="90" w:type="dxa"/>
              <w:bottom w:w="90" w:type="dxa"/>
              <w:right w:w="90" w:type="dxa"/>
            </w:tcMar>
            <w:vAlign w:val="top"/>
          </w:tcPr>
          <w:p>
            <w:pPr>
              <w:pStyle w:val="18"/>
              <w:rPr>
                <w:rFonts w:hint="default"/>
              </w:rPr>
            </w:pPr>
            <w:r>
              <w:rPr>
                <w:rFonts w:ascii="宋体" w:hAnsi="宋体" w:cs="宋体"/>
                <w:sz w:val="24"/>
              </w:rPr>
              <w:t>a）应制定交付清单，并根据交付清单对所交接的设备、软件和文档等进行清点；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5" w:type="dxa"/>
            <w:tcMar>
              <w:top w:w="90" w:type="dxa"/>
              <w:left w:w="90" w:type="dxa"/>
              <w:bottom w:w="90" w:type="dxa"/>
              <w:right w:w="90" w:type="dxa"/>
            </w:tcMar>
            <w:vAlign w:val="top"/>
          </w:tcPr>
          <w:p>
            <w:pPr>
              <w:pStyle w:val="18"/>
              <w:jc w:val="center"/>
              <w:rPr>
                <w:rFonts w:hint="default"/>
              </w:rPr>
            </w:pPr>
            <w:r>
              <w:rPr>
                <w:rFonts w:ascii="宋体" w:hAnsi="宋体" w:cs="宋体"/>
                <w:sz w:val="24"/>
              </w:rPr>
              <w:t>27</w:t>
            </w:r>
          </w:p>
        </w:tc>
        <w:tc>
          <w:tcPr>
            <w:tcW w:w="1095" w:type="dxa"/>
            <w:vMerge w:val="continue"/>
            <w:vAlign w:val="top"/>
          </w:tcPr>
          <w:p/>
        </w:tc>
        <w:tc>
          <w:tcPr>
            <w:tcW w:w="7998" w:type="dxa"/>
            <w:tcMar>
              <w:top w:w="90" w:type="dxa"/>
              <w:left w:w="90" w:type="dxa"/>
              <w:bottom w:w="90" w:type="dxa"/>
              <w:right w:w="90" w:type="dxa"/>
            </w:tcMar>
            <w:vAlign w:val="top"/>
          </w:tcPr>
          <w:p>
            <w:pPr>
              <w:pStyle w:val="18"/>
              <w:rPr>
                <w:rFonts w:hint="default"/>
              </w:rPr>
            </w:pPr>
            <w:r>
              <w:rPr>
                <w:rFonts w:ascii="宋体" w:hAnsi="宋体" w:cs="宋体"/>
                <w:sz w:val="24"/>
              </w:rPr>
              <w:t>b）应对负责运行维护的技术人员进行相应的技能培训；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5" w:type="dxa"/>
            <w:tcMar>
              <w:top w:w="90" w:type="dxa"/>
              <w:left w:w="90" w:type="dxa"/>
              <w:bottom w:w="90" w:type="dxa"/>
              <w:right w:w="90" w:type="dxa"/>
            </w:tcMar>
            <w:vAlign w:val="top"/>
          </w:tcPr>
          <w:p>
            <w:pPr>
              <w:pStyle w:val="18"/>
              <w:jc w:val="center"/>
              <w:rPr>
                <w:rFonts w:hint="default"/>
              </w:rPr>
            </w:pPr>
            <w:r>
              <w:rPr>
                <w:rFonts w:ascii="宋体" w:hAnsi="宋体" w:cs="宋体"/>
                <w:sz w:val="24"/>
              </w:rPr>
              <w:t>28</w:t>
            </w:r>
          </w:p>
        </w:tc>
        <w:tc>
          <w:tcPr>
            <w:tcW w:w="1095" w:type="dxa"/>
            <w:vMerge w:val="continue"/>
            <w:vAlign w:val="top"/>
          </w:tcPr>
          <w:p/>
        </w:tc>
        <w:tc>
          <w:tcPr>
            <w:tcW w:w="7998" w:type="dxa"/>
            <w:tcMar>
              <w:top w:w="90" w:type="dxa"/>
              <w:left w:w="90" w:type="dxa"/>
              <w:bottom w:w="90" w:type="dxa"/>
              <w:right w:w="90" w:type="dxa"/>
            </w:tcMar>
            <w:vAlign w:val="top"/>
          </w:tcPr>
          <w:p>
            <w:pPr>
              <w:pStyle w:val="18"/>
              <w:rPr>
                <w:rFonts w:hint="default"/>
              </w:rPr>
            </w:pPr>
            <w:r>
              <w:rPr>
                <w:rFonts w:ascii="宋体" w:hAnsi="宋体" w:cs="宋体"/>
                <w:sz w:val="24"/>
              </w:rPr>
              <w:t>c）应提供建设过程文档和运行维护文档。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5" w:type="dxa"/>
            <w:tcMar>
              <w:top w:w="90" w:type="dxa"/>
              <w:left w:w="90" w:type="dxa"/>
              <w:bottom w:w="90" w:type="dxa"/>
              <w:right w:w="90" w:type="dxa"/>
            </w:tcMar>
            <w:vAlign w:val="top"/>
          </w:tcPr>
          <w:p>
            <w:pPr>
              <w:pStyle w:val="18"/>
              <w:jc w:val="center"/>
              <w:rPr>
                <w:rFonts w:hint="default"/>
              </w:rPr>
            </w:pPr>
            <w:r>
              <w:rPr>
                <w:rFonts w:ascii="宋体" w:hAnsi="宋体" w:cs="宋体"/>
                <w:sz w:val="24"/>
              </w:rPr>
              <w:t>29</w:t>
            </w:r>
          </w:p>
        </w:tc>
        <w:tc>
          <w:tcPr>
            <w:tcW w:w="1095" w:type="dxa"/>
            <w:vMerge w:val="restart"/>
            <w:tcMar>
              <w:top w:w="90" w:type="dxa"/>
              <w:left w:w="90" w:type="dxa"/>
              <w:bottom w:w="90" w:type="dxa"/>
              <w:right w:w="90" w:type="dxa"/>
            </w:tcMar>
            <w:vAlign w:val="top"/>
          </w:tcPr>
          <w:p>
            <w:pPr>
              <w:pStyle w:val="18"/>
              <w:jc w:val="center"/>
              <w:rPr>
                <w:rFonts w:hint="default"/>
              </w:rPr>
            </w:pPr>
            <w:r>
              <w:rPr>
                <w:rFonts w:ascii="宋体" w:hAnsi="宋体" w:cs="宋体"/>
                <w:sz w:val="24"/>
              </w:rPr>
              <w:t>等级测评</w:t>
            </w:r>
          </w:p>
        </w:tc>
        <w:tc>
          <w:tcPr>
            <w:tcW w:w="7998" w:type="dxa"/>
            <w:tcMar>
              <w:top w:w="90" w:type="dxa"/>
              <w:left w:w="90" w:type="dxa"/>
              <w:bottom w:w="90" w:type="dxa"/>
              <w:right w:w="90" w:type="dxa"/>
            </w:tcMar>
            <w:vAlign w:val="top"/>
          </w:tcPr>
          <w:p>
            <w:pPr>
              <w:pStyle w:val="18"/>
              <w:rPr>
                <w:rFonts w:hint="default"/>
              </w:rPr>
            </w:pPr>
            <w:r>
              <w:rPr>
                <w:rFonts w:ascii="宋体" w:hAnsi="宋体" w:cs="宋体"/>
                <w:sz w:val="24"/>
              </w:rPr>
              <w:t>a）应定期进行等级测评，发现不符合相应等级保护标准要求的及时整改；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5" w:type="dxa"/>
            <w:tcMar>
              <w:top w:w="90" w:type="dxa"/>
              <w:left w:w="90" w:type="dxa"/>
              <w:bottom w:w="90" w:type="dxa"/>
              <w:right w:w="90" w:type="dxa"/>
            </w:tcMar>
            <w:vAlign w:val="top"/>
          </w:tcPr>
          <w:p>
            <w:pPr>
              <w:pStyle w:val="18"/>
              <w:jc w:val="center"/>
              <w:rPr>
                <w:rFonts w:hint="default"/>
              </w:rPr>
            </w:pPr>
            <w:r>
              <w:rPr>
                <w:rFonts w:ascii="宋体" w:hAnsi="宋体" w:cs="宋体"/>
                <w:sz w:val="24"/>
              </w:rPr>
              <w:t>30</w:t>
            </w:r>
          </w:p>
        </w:tc>
        <w:tc>
          <w:tcPr>
            <w:tcW w:w="1095" w:type="dxa"/>
            <w:vMerge w:val="continue"/>
            <w:vAlign w:val="top"/>
          </w:tcPr>
          <w:p/>
        </w:tc>
        <w:tc>
          <w:tcPr>
            <w:tcW w:w="7998" w:type="dxa"/>
            <w:tcMar>
              <w:top w:w="90" w:type="dxa"/>
              <w:left w:w="90" w:type="dxa"/>
              <w:bottom w:w="90" w:type="dxa"/>
              <w:right w:w="90" w:type="dxa"/>
            </w:tcMar>
            <w:vAlign w:val="top"/>
          </w:tcPr>
          <w:p>
            <w:pPr>
              <w:pStyle w:val="18"/>
              <w:rPr>
                <w:rFonts w:hint="default"/>
              </w:rPr>
            </w:pPr>
            <w:r>
              <w:rPr>
                <w:rFonts w:ascii="宋体" w:hAnsi="宋体" w:cs="宋体"/>
                <w:sz w:val="24"/>
              </w:rPr>
              <w:t>b）应在发生重大变更或级别发生变化时进行等级测评；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5" w:type="dxa"/>
            <w:tcMar>
              <w:top w:w="90" w:type="dxa"/>
              <w:left w:w="90" w:type="dxa"/>
              <w:bottom w:w="90" w:type="dxa"/>
              <w:right w:w="90" w:type="dxa"/>
            </w:tcMar>
            <w:vAlign w:val="top"/>
          </w:tcPr>
          <w:p>
            <w:pPr>
              <w:pStyle w:val="18"/>
              <w:jc w:val="center"/>
              <w:rPr>
                <w:rFonts w:hint="default"/>
              </w:rPr>
            </w:pPr>
            <w:r>
              <w:rPr>
                <w:rFonts w:ascii="宋体" w:hAnsi="宋体" w:cs="宋体"/>
                <w:sz w:val="24"/>
              </w:rPr>
              <w:t>31</w:t>
            </w:r>
          </w:p>
        </w:tc>
        <w:tc>
          <w:tcPr>
            <w:tcW w:w="1095" w:type="dxa"/>
            <w:vMerge w:val="continue"/>
            <w:vAlign w:val="top"/>
          </w:tcPr>
          <w:p/>
        </w:tc>
        <w:tc>
          <w:tcPr>
            <w:tcW w:w="7998" w:type="dxa"/>
            <w:tcMar>
              <w:top w:w="90" w:type="dxa"/>
              <w:left w:w="90" w:type="dxa"/>
              <w:bottom w:w="90" w:type="dxa"/>
              <w:right w:w="90" w:type="dxa"/>
            </w:tcMar>
            <w:vAlign w:val="top"/>
          </w:tcPr>
          <w:p>
            <w:pPr>
              <w:pStyle w:val="18"/>
              <w:rPr>
                <w:rFonts w:hint="default"/>
              </w:rPr>
            </w:pPr>
            <w:r>
              <w:rPr>
                <w:rFonts w:ascii="宋体" w:hAnsi="宋体" w:cs="宋体"/>
                <w:sz w:val="24"/>
              </w:rPr>
              <w:t>c）应确保测评机构的选择符合国家有关规定。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5" w:type="dxa"/>
            <w:tcMar>
              <w:top w:w="90" w:type="dxa"/>
              <w:left w:w="90" w:type="dxa"/>
              <w:bottom w:w="90" w:type="dxa"/>
              <w:right w:w="90" w:type="dxa"/>
            </w:tcMar>
            <w:vAlign w:val="top"/>
          </w:tcPr>
          <w:p>
            <w:pPr>
              <w:pStyle w:val="18"/>
              <w:jc w:val="center"/>
              <w:rPr>
                <w:rFonts w:hint="default"/>
              </w:rPr>
            </w:pPr>
            <w:r>
              <w:rPr>
                <w:rFonts w:ascii="宋体" w:hAnsi="宋体" w:cs="宋体"/>
                <w:sz w:val="24"/>
              </w:rPr>
              <w:t>32</w:t>
            </w:r>
          </w:p>
        </w:tc>
        <w:tc>
          <w:tcPr>
            <w:tcW w:w="1095" w:type="dxa"/>
            <w:vMerge w:val="restart"/>
            <w:tcMar>
              <w:top w:w="90" w:type="dxa"/>
              <w:left w:w="90" w:type="dxa"/>
              <w:bottom w:w="90" w:type="dxa"/>
              <w:right w:w="90" w:type="dxa"/>
            </w:tcMar>
            <w:vAlign w:val="top"/>
          </w:tcPr>
          <w:p>
            <w:pPr>
              <w:pStyle w:val="18"/>
              <w:jc w:val="center"/>
              <w:rPr>
                <w:rFonts w:hint="default"/>
              </w:rPr>
            </w:pPr>
            <w:r>
              <w:rPr>
                <w:rFonts w:ascii="宋体" w:hAnsi="宋体" w:cs="宋体"/>
                <w:sz w:val="24"/>
              </w:rPr>
              <w:t>服务供应商选择</w:t>
            </w:r>
          </w:p>
        </w:tc>
        <w:tc>
          <w:tcPr>
            <w:tcW w:w="7998" w:type="dxa"/>
            <w:tcMar>
              <w:top w:w="90" w:type="dxa"/>
              <w:left w:w="90" w:type="dxa"/>
              <w:bottom w:w="90" w:type="dxa"/>
              <w:right w:w="90" w:type="dxa"/>
            </w:tcMar>
            <w:vAlign w:val="top"/>
          </w:tcPr>
          <w:p>
            <w:pPr>
              <w:pStyle w:val="18"/>
              <w:rPr>
                <w:rFonts w:hint="default"/>
              </w:rPr>
            </w:pPr>
            <w:r>
              <w:rPr>
                <w:rFonts w:ascii="宋体" w:hAnsi="宋体" w:cs="宋体"/>
                <w:sz w:val="24"/>
              </w:rPr>
              <w:t>a）应确保服务供应商的选择符合国家的有关规定；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5" w:type="dxa"/>
            <w:tcMar>
              <w:top w:w="90" w:type="dxa"/>
              <w:left w:w="90" w:type="dxa"/>
              <w:bottom w:w="90" w:type="dxa"/>
              <w:right w:w="90" w:type="dxa"/>
            </w:tcMar>
            <w:vAlign w:val="top"/>
          </w:tcPr>
          <w:p>
            <w:pPr>
              <w:pStyle w:val="18"/>
              <w:jc w:val="center"/>
              <w:rPr>
                <w:rFonts w:hint="default"/>
              </w:rPr>
            </w:pPr>
            <w:r>
              <w:rPr>
                <w:rFonts w:ascii="宋体" w:hAnsi="宋体" w:cs="宋体"/>
                <w:sz w:val="24"/>
              </w:rPr>
              <w:t>33</w:t>
            </w:r>
          </w:p>
        </w:tc>
        <w:tc>
          <w:tcPr>
            <w:tcW w:w="1095" w:type="dxa"/>
            <w:vMerge w:val="continue"/>
            <w:vAlign w:val="top"/>
          </w:tcPr>
          <w:p/>
        </w:tc>
        <w:tc>
          <w:tcPr>
            <w:tcW w:w="7998" w:type="dxa"/>
            <w:tcMar>
              <w:top w:w="90" w:type="dxa"/>
              <w:left w:w="90" w:type="dxa"/>
              <w:bottom w:w="90" w:type="dxa"/>
              <w:right w:w="90" w:type="dxa"/>
            </w:tcMar>
            <w:vAlign w:val="top"/>
          </w:tcPr>
          <w:p>
            <w:pPr>
              <w:pStyle w:val="18"/>
              <w:rPr>
                <w:rFonts w:hint="default"/>
              </w:rPr>
            </w:pPr>
            <w:r>
              <w:rPr>
                <w:rFonts w:ascii="宋体" w:hAnsi="宋体" w:cs="宋体"/>
                <w:sz w:val="24"/>
              </w:rPr>
              <w:t>b）应与选定的服务供应商签订相关协议，明确整个服务供应链各方需履行的网络安全相关义务；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45" w:type="dxa"/>
            <w:tcMar>
              <w:top w:w="90" w:type="dxa"/>
              <w:left w:w="90" w:type="dxa"/>
              <w:bottom w:w="90" w:type="dxa"/>
              <w:right w:w="90" w:type="dxa"/>
            </w:tcMar>
            <w:vAlign w:val="top"/>
          </w:tcPr>
          <w:p>
            <w:pPr>
              <w:pStyle w:val="18"/>
              <w:jc w:val="center"/>
              <w:rPr>
                <w:rFonts w:hint="default"/>
              </w:rPr>
            </w:pPr>
            <w:r>
              <w:rPr>
                <w:rFonts w:ascii="宋体" w:hAnsi="宋体" w:cs="宋体"/>
                <w:sz w:val="24"/>
              </w:rPr>
              <w:t>34</w:t>
            </w:r>
          </w:p>
        </w:tc>
        <w:tc>
          <w:tcPr>
            <w:tcW w:w="1095" w:type="dxa"/>
            <w:vMerge w:val="continue"/>
            <w:vAlign w:val="top"/>
          </w:tcPr>
          <w:p/>
        </w:tc>
        <w:tc>
          <w:tcPr>
            <w:tcW w:w="7998" w:type="dxa"/>
            <w:tcMar>
              <w:top w:w="90" w:type="dxa"/>
              <w:left w:w="90" w:type="dxa"/>
              <w:bottom w:w="90" w:type="dxa"/>
              <w:right w:w="90" w:type="dxa"/>
            </w:tcMar>
            <w:vAlign w:val="top"/>
          </w:tcPr>
          <w:p>
            <w:pPr>
              <w:pStyle w:val="18"/>
              <w:rPr>
                <w:rFonts w:hint="default"/>
              </w:rPr>
            </w:pPr>
            <w:r>
              <w:rPr>
                <w:rFonts w:ascii="宋体" w:hAnsi="宋体" w:cs="宋体"/>
                <w:sz w:val="24"/>
              </w:rPr>
              <w:t>c）应定期监督、评审和审核服务供应商提供的服务，并对其变更服务内容加以控制。</w:t>
            </w:r>
          </w:p>
        </w:tc>
      </w:tr>
    </w:tbl>
    <w:p>
      <w:pPr>
        <w:pStyle w:val="18"/>
        <w:ind w:firstLine="482" w:firstLineChars="200"/>
        <w:jc w:val="both"/>
        <w:rPr>
          <w:rFonts w:hint="default"/>
        </w:rPr>
      </w:pPr>
      <w:r>
        <w:rPr>
          <w:rFonts w:ascii="宋体" w:hAnsi="宋体" w:cs="宋体"/>
          <w:b/>
          <w:sz w:val="24"/>
          <w:shd w:val="clear" w:color="auto" w:fill="FFFFFF"/>
        </w:rPr>
        <w:t>2.10.2.测评实施</w:t>
      </w:r>
    </w:p>
    <w:p>
      <w:pPr>
        <w:pStyle w:val="18"/>
        <w:ind w:firstLine="480"/>
        <w:jc w:val="both"/>
        <w:rPr>
          <w:rFonts w:hint="default"/>
        </w:rPr>
      </w:pPr>
      <w:r>
        <w:rPr>
          <w:rFonts w:ascii="宋体" w:hAnsi="宋体" w:cs="宋体"/>
          <w:sz w:val="24"/>
          <w:shd w:val="clear" w:color="auto" w:fill="FFFFFF"/>
        </w:rPr>
        <w:t>安全建设管理测评主要涉及系统建设负责人、各类管理制度、操作规程文件和执行过程记录等技术检测对象。</w:t>
      </w:r>
    </w:p>
    <w:p>
      <w:pPr>
        <w:pStyle w:val="18"/>
        <w:ind w:firstLine="482" w:firstLineChars="200"/>
        <w:jc w:val="both"/>
        <w:outlineLvl w:val="5"/>
        <w:rPr>
          <w:rFonts w:hint="default"/>
        </w:rPr>
      </w:pPr>
      <w:r>
        <w:rPr>
          <w:rFonts w:ascii="宋体" w:hAnsi="宋体" w:cs="宋体"/>
          <w:b/>
          <w:sz w:val="24"/>
          <w:shd w:val="clear" w:color="auto" w:fill="FFFFFF"/>
        </w:rPr>
        <w:t>2.11.安全运维管理测评</w:t>
      </w:r>
    </w:p>
    <w:p>
      <w:pPr>
        <w:pStyle w:val="18"/>
        <w:ind w:firstLine="482" w:firstLineChars="200"/>
        <w:jc w:val="both"/>
        <w:rPr>
          <w:rFonts w:hint="default"/>
        </w:rPr>
      </w:pPr>
      <w:r>
        <w:rPr>
          <w:rFonts w:ascii="宋体" w:hAnsi="宋体" w:cs="宋体"/>
          <w:b/>
          <w:sz w:val="24"/>
          <w:shd w:val="clear" w:color="auto" w:fill="FFFFFF"/>
        </w:rPr>
        <w:t>2.11.1.测评指标</w:t>
      </w:r>
    </w:p>
    <w:p>
      <w:pPr>
        <w:pStyle w:val="18"/>
        <w:jc w:val="center"/>
        <w:rPr>
          <w:rFonts w:hint="default"/>
        </w:rPr>
      </w:pPr>
      <w:r>
        <w:rPr>
          <w:rFonts w:ascii="宋体" w:hAnsi="宋体" w:cs="宋体"/>
          <w:sz w:val="24"/>
          <w:shd w:val="clear" w:color="auto" w:fill="FFFFFF"/>
        </w:rPr>
        <w:t>安全运维管理（通用要求）测评指标</w:t>
      </w:r>
    </w:p>
    <w:tbl>
      <w:tblPr>
        <w:tblStyle w:val="17"/>
        <w:tblW w:w="96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233"/>
        <w:gridCol w:w="7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5" w:type="dxa"/>
            <w:shd w:val="clear" w:color="auto" w:fill="BFBFBF"/>
            <w:tcMar>
              <w:top w:w="90" w:type="dxa"/>
              <w:left w:w="90" w:type="dxa"/>
              <w:bottom w:w="90" w:type="dxa"/>
              <w:right w:w="90" w:type="dxa"/>
            </w:tcMar>
            <w:vAlign w:val="top"/>
          </w:tcPr>
          <w:p>
            <w:pPr>
              <w:pStyle w:val="18"/>
              <w:jc w:val="center"/>
              <w:rPr>
                <w:rFonts w:hint="default"/>
              </w:rPr>
            </w:pPr>
            <w:r>
              <w:rPr>
                <w:rFonts w:ascii="宋体" w:hAnsi="宋体" w:cs="宋体"/>
                <w:b/>
                <w:sz w:val="24"/>
              </w:rPr>
              <w:t>序号</w:t>
            </w:r>
          </w:p>
        </w:tc>
        <w:tc>
          <w:tcPr>
            <w:tcW w:w="1233" w:type="dxa"/>
            <w:shd w:val="clear" w:color="auto" w:fill="BFBFBF"/>
            <w:tcMar>
              <w:top w:w="90" w:type="dxa"/>
              <w:left w:w="90" w:type="dxa"/>
              <w:bottom w:w="90" w:type="dxa"/>
              <w:right w:w="90" w:type="dxa"/>
            </w:tcMar>
            <w:vAlign w:val="top"/>
          </w:tcPr>
          <w:p>
            <w:pPr>
              <w:pStyle w:val="18"/>
              <w:jc w:val="center"/>
              <w:rPr>
                <w:rFonts w:hint="default"/>
              </w:rPr>
            </w:pPr>
            <w:r>
              <w:rPr>
                <w:rFonts w:ascii="宋体" w:hAnsi="宋体" w:cs="宋体"/>
                <w:b/>
                <w:sz w:val="24"/>
              </w:rPr>
              <w:t>安全子类</w:t>
            </w:r>
          </w:p>
        </w:tc>
        <w:tc>
          <w:tcPr>
            <w:tcW w:w="7870" w:type="dxa"/>
            <w:shd w:val="clear" w:color="auto" w:fill="BFBFBF"/>
            <w:tcMar>
              <w:top w:w="90" w:type="dxa"/>
              <w:left w:w="90" w:type="dxa"/>
              <w:bottom w:w="90" w:type="dxa"/>
              <w:right w:w="90" w:type="dxa"/>
            </w:tcMar>
            <w:vAlign w:val="top"/>
          </w:tcPr>
          <w:p>
            <w:pPr>
              <w:pStyle w:val="18"/>
              <w:jc w:val="center"/>
              <w:rPr>
                <w:rFonts w:hint="default"/>
              </w:rPr>
            </w:pPr>
            <w:r>
              <w:rPr>
                <w:rFonts w:ascii="宋体" w:hAnsi="宋体" w:cs="宋体"/>
                <w:b/>
                <w:sz w:val="24"/>
              </w:rPr>
              <w:t>测评指标描述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5" w:type="dxa"/>
            <w:tcMar>
              <w:top w:w="90" w:type="dxa"/>
              <w:left w:w="90" w:type="dxa"/>
              <w:bottom w:w="90" w:type="dxa"/>
              <w:right w:w="90" w:type="dxa"/>
            </w:tcMar>
            <w:vAlign w:val="top"/>
          </w:tcPr>
          <w:p>
            <w:pPr>
              <w:pStyle w:val="18"/>
              <w:jc w:val="center"/>
              <w:rPr>
                <w:rFonts w:hint="default"/>
              </w:rPr>
            </w:pPr>
            <w:r>
              <w:rPr>
                <w:rFonts w:ascii="宋体" w:hAnsi="宋体" w:cs="宋体"/>
                <w:sz w:val="24"/>
              </w:rPr>
              <w:t>1</w:t>
            </w:r>
          </w:p>
        </w:tc>
        <w:tc>
          <w:tcPr>
            <w:tcW w:w="1233" w:type="dxa"/>
            <w:vMerge w:val="restart"/>
            <w:tcMar>
              <w:top w:w="90" w:type="dxa"/>
              <w:left w:w="90" w:type="dxa"/>
              <w:bottom w:w="90" w:type="dxa"/>
              <w:right w:w="90" w:type="dxa"/>
            </w:tcMar>
            <w:vAlign w:val="top"/>
          </w:tcPr>
          <w:p>
            <w:pPr>
              <w:pStyle w:val="18"/>
              <w:jc w:val="center"/>
              <w:rPr>
                <w:rFonts w:hint="default"/>
              </w:rPr>
            </w:pPr>
            <w:r>
              <w:rPr>
                <w:rFonts w:ascii="宋体" w:hAnsi="宋体" w:cs="宋体"/>
                <w:sz w:val="24"/>
              </w:rPr>
              <w:t>环境管理</w:t>
            </w:r>
          </w:p>
        </w:tc>
        <w:tc>
          <w:tcPr>
            <w:tcW w:w="7870" w:type="dxa"/>
            <w:tcMar>
              <w:top w:w="90" w:type="dxa"/>
              <w:left w:w="90" w:type="dxa"/>
              <w:bottom w:w="90" w:type="dxa"/>
              <w:right w:w="90" w:type="dxa"/>
            </w:tcMar>
            <w:vAlign w:val="top"/>
          </w:tcPr>
          <w:p>
            <w:pPr>
              <w:pStyle w:val="18"/>
              <w:rPr>
                <w:rFonts w:hint="default"/>
              </w:rPr>
            </w:pPr>
            <w:r>
              <w:rPr>
                <w:rFonts w:ascii="宋体" w:hAnsi="宋体" w:cs="宋体"/>
                <w:sz w:val="24"/>
              </w:rPr>
              <w:t>a）应指定专门的部门或人员负责机房安全，对机房出入进行管理，定期对机房供配电、空调、温湿度控制、消防等设施进行维护管理；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5" w:type="dxa"/>
            <w:tcMar>
              <w:top w:w="90" w:type="dxa"/>
              <w:left w:w="90" w:type="dxa"/>
              <w:bottom w:w="90" w:type="dxa"/>
              <w:right w:w="90" w:type="dxa"/>
            </w:tcMar>
            <w:vAlign w:val="top"/>
          </w:tcPr>
          <w:p>
            <w:pPr>
              <w:pStyle w:val="18"/>
              <w:jc w:val="center"/>
              <w:rPr>
                <w:rFonts w:hint="default"/>
              </w:rPr>
            </w:pPr>
            <w:r>
              <w:rPr>
                <w:rFonts w:ascii="宋体" w:hAnsi="宋体" w:cs="宋体"/>
                <w:sz w:val="24"/>
              </w:rPr>
              <w:t>2</w:t>
            </w:r>
          </w:p>
        </w:tc>
        <w:tc>
          <w:tcPr>
            <w:tcW w:w="1233" w:type="dxa"/>
            <w:vMerge w:val="continue"/>
            <w:vAlign w:val="top"/>
          </w:tcPr>
          <w:p/>
        </w:tc>
        <w:tc>
          <w:tcPr>
            <w:tcW w:w="7870" w:type="dxa"/>
            <w:tcMar>
              <w:top w:w="90" w:type="dxa"/>
              <w:left w:w="90" w:type="dxa"/>
              <w:bottom w:w="90" w:type="dxa"/>
              <w:right w:w="90" w:type="dxa"/>
            </w:tcMar>
            <w:vAlign w:val="top"/>
          </w:tcPr>
          <w:p>
            <w:pPr>
              <w:pStyle w:val="18"/>
              <w:rPr>
                <w:rFonts w:hint="default"/>
              </w:rPr>
            </w:pPr>
            <w:r>
              <w:rPr>
                <w:rFonts w:ascii="宋体" w:hAnsi="宋体" w:cs="宋体"/>
                <w:sz w:val="24"/>
              </w:rPr>
              <w:t>b）应建立机房安全管理制度，对有关物理访问、物品带进出和环境安全等方面的管理作出规定；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5" w:type="dxa"/>
            <w:tcMar>
              <w:top w:w="90" w:type="dxa"/>
              <w:left w:w="90" w:type="dxa"/>
              <w:bottom w:w="90" w:type="dxa"/>
              <w:right w:w="90" w:type="dxa"/>
            </w:tcMar>
            <w:vAlign w:val="top"/>
          </w:tcPr>
          <w:p>
            <w:pPr>
              <w:pStyle w:val="18"/>
              <w:jc w:val="center"/>
              <w:rPr>
                <w:rFonts w:hint="default"/>
              </w:rPr>
            </w:pPr>
            <w:r>
              <w:rPr>
                <w:rFonts w:ascii="宋体" w:hAnsi="宋体" w:cs="宋体"/>
                <w:sz w:val="24"/>
              </w:rPr>
              <w:t>3</w:t>
            </w:r>
          </w:p>
        </w:tc>
        <w:tc>
          <w:tcPr>
            <w:tcW w:w="1233" w:type="dxa"/>
            <w:vMerge w:val="continue"/>
            <w:vAlign w:val="top"/>
          </w:tcPr>
          <w:p/>
        </w:tc>
        <w:tc>
          <w:tcPr>
            <w:tcW w:w="7870" w:type="dxa"/>
            <w:tcMar>
              <w:top w:w="90" w:type="dxa"/>
              <w:left w:w="90" w:type="dxa"/>
              <w:bottom w:w="90" w:type="dxa"/>
              <w:right w:w="90" w:type="dxa"/>
            </w:tcMar>
            <w:vAlign w:val="top"/>
          </w:tcPr>
          <w:p>
            <w:pPr>
              <w:pStyle w:val="18"/>
              <w:rPr>
                <w:rFonts w:hint="default"/>
              </w:rPr>
            </w:pPr>
            <w:r>
              <w:rPr>
                <w:rFonts w:ascii="宋体" w:hAnsi="宋体" w:cs="宋体"/>
                <w:sz w:val="24"/>
              </w:rPr>
              <w:t>c）应不在重要区域接待来访人员，不随意放置含有敏感信息的纸档文件和移动介质等。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5" w:type="dxa"/>
            <w:tcMar>
              <w:top w:w="90" w:type="dxa"/>
              <w:left w:w="90" w:type="dxa"/>
              <w:bottom w:w="90" w:type="dxa"/>
              <w:right w:w="90" w:type="dxa"/>
            </w:tcMar>
            <w:vAlign w:val="top"/>
          </w:tcPr>
          <w:p>
            <w:pPr>
              <w:pStyle w:val="18"/>
              <w:jc w:val="center"/>
              <w:rPr>
                <w:rFonts w:hint="default"/>
              </w:rPr>
            </w:pPr>
            <w:r>
              <w:rPr>
                <w:rFonts w:ascii="宋体" w:hAnsi="宋体" w:cs="宋体"/>
                <w:sz w:val="24"/>
              </w:rPr>
              <w:t>4</w:t>
            </w:r>
          </w:p>
        </w:tc>
        <w:tc>
          <w:tcPr>
            <w:tcW w:w="1233" w:type="dxa"/>
            <w:vMerge w:val="restart"/>
            <w:tcMar>
              <w:top w:w="90" w:type="dxa"/>
              <w:left w:w="90" w:type="dxa"/>
              <w:bottom w:w="90" w:type="dxa"/>
              <w:right w:w="90" w:type="dxa"/>
            </w:tcMar>
            <w:vAlign w:val="top"/>
          </w:tcPr>
          <w:p>
            <w:pPr>
              <w:pStyle w:val="18"/>
              <w:jc w:val="center"/>
              <w:rPr>
                <w:rFonts w:hint="default"/>
              </w:rPr>
            </w:pPr>
            <w:r>
              <w:rPr>
                <w:rFonts w:ascii="宋体" w:hAnsi="宋体" w:cs="宋体"/>
                <w:sz w:val="24"/>
              </w:rPr>
              <w:t>资产管理</w:t>
            </w:r>
          </w:p>
        </w:tc>
        <w:tc>
          <w:tcPr>
            <w:tcW w:w="7870" w:type="dxa"/>
            <w:tcMar>
              <w:top w:w="90" w:type="dxa"/>
              <w:left w:w="90" w:type="dxa"/>
              <w:bottom w:w="90" w:type="dxa"/>
              <w:right w:w="90" w:type="dxa"/>
            </w:tcMar>
            <w:vAlign w:val="top"/>
          </w:tcPr>
          <w:p>
            <w:pPr>
              <w:pStyle w:val="18"/>
              <w:rPr>
                <w:rFonts w:hint="default"/>
              </w:rPr>
            </w:pPr>
            <w:r>
              <w:rPr>
                <w:rFonts w:ascii="宋体" w:hAnsi="宋体" w:cs="宋体"/>
                <w:sz w:val="24"/>
              </w:rPr>
              <w:t>a）应编制并保存与保护对象相关的资产清单，包括资产责任部门、重要程度和所处位置等内容；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5" w:type="dxa"/>
            <w:tcMar>
              <w:top w:w="90" w:type="dxa"/>
              <w:left w:w="90" w:type="dxa"/>
              <w:bottom w:w="90" w:type="dxa"/>
              <w:right w:w="90" w:type="dxa"/>
            </w:tcMar>
            <w:vAlign w:val="top"/>
          </w:tcPr>
          <w:p>
            <w:pPr>
              <w:pStyle w:val="18"/>
              <w:jc w:val="center"/>
              <w:rPr>
                <w:rFonts w:hint="default"/>
              </w:rPr>
            </w:pPr>
            <w:r>
              <w:rPr>
                <w:rFonts w:ascii="宋体" w:hAnsi="宋体" w:cs="宋体"/>
                <w:sz w:val="24"/>
              </w:rPr>
              <w:t>5</w:t>
            </w:r>
          </w:p>
        </w:tc>
        <w:tc>
          <w:tcPr>
            <w:tcW w:w="1233" w:type="dxa"/>
            <w:vMerge w:val="continue"/>
            <w:vAlign w:val="top"/>
          </w:tcPr>
          <w:p/>
        </w:tc>
        <w:tc>
          <w:tcPr>
            <w:tcW w:w="7870" w:type="dxa"/>
            <w:tcMar>
              <w:top w:w="90" w:type="dxa"/>
              <w:left w:w="90" w:type="dxa"/>
              <w:bottom w:w="90" w:type="dxa"/>
              <w:right w:w="90" w:type="dxa"/>
            </w:tcMar>
            <w:vAlign w:val="top"/>
          </w:tcPr>
          <w:p>
            <w:pPr>
              <w:pStyle w:val="18"/>
              <w:rPr>
                <w:rFonts w:hint="default"/>
              </w:rPr>
            </w:pPr>
            <w:r>
              <w:rPr>
                <w:rFonts w:ascii="宋体" w:hAnsi="宋体" w:cs="宋体"/>
                <w:sz w:val="24"/>
              </w:rPr>
              <w:t>b）应根据资产的重要程度对资产进行标识管理，根据资产的价值选择相应的管理措施；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5" w:type="dxa"/>
            <w:tcMar>
              <w:top w:w="90" w:type="dxa"/>
              <w:left w:w="90" w:type="dxa"/>
              <w:bottom w:w="90" w:type="dxa"/>
              <w:right w:w="90" w:type="dxa"/>
            </w:tcMar>
            <w:vAlign w:val="top"/>
          </w:tcPr>
          <w:p>
            <w:pPr>
              <w:pStyle w:val="18"/>
              <w:jc w:val="center"/>
              <w:rPr>
                <w:rFonts w:hint="default"/>
              </w:rPr>
            </w:pPr>
            <w:r>
              <w:rPr>
                <w:rFonts w:ascii="宋体" w:hAnsi="宋体" w:cs="宋体"/>
                <w:sz w:val="24"/>
              </w:rPr>
              <w:t>6</w:t>
            </w:r>
          </w:p>
        </w:tc>
        <w:tc>
          <w:tcPr>
            <w:tcW w:w="1233" w:type="dxa"/>
            <w:vMerge w:val="continue"/>
            <w:vAlign w:val="top"/>
          </w:tcPr>
          <w:p/>
        </w:tc>
        <w:tc>
          <w:tcPr>
            <w:tcW w:w="7870" w:type="dxa"/>
            <w:tcMar>
              <w:top w:w="90" w:type="dxa"/>
              <w:left w:w="90" w:type="dxa"/>
              <w:bottom w:w="90" w:type="dxa"/>
              <w:right w:w="90" w:type="dxa"/>
            </w:tcMar>
            <w:vAlign w:val="top"/>
          </w:tcPr>
          <w:p>
            <w:pPr>
              <w:pStyle w:val="18"/>
              <w:rPr>
                <w:rFonts w:hint="default"/>
              </w:rPr>
            </w:pPr>
            <w:r>
              <w:rPr>
                <w:rFonts w:ascii="宋体" w:hAnsi="宋体" w:cs="宋体"/>
                <w:sz w:val="24"/>
              </w:rPr>
              <w:t>c）应对信息分类与标识方法作出规定，并对信息的使用、传输和存储等进行规范化管理。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5" w:type="dxa"/>
            <w:tcMar>
              <w:top w:w="90" w:type="dxa"/>
              <w:left w:w="90" w:type="dxa"/>
              <w:bottom w:w="90" w:type="dxa"/>
              <w:right w:w="90" w:type="dxa"/>
            </w:tcMar>
            <w:vAlign w:val="top"/>
          </w:tcPr>
          <w:p>
            <w:pPr>
              <w:pStyle w:val="18"/>
              <w:jc w:val="center"/>
              <w:rPr>
                <w:rFonts w:hint="default"/>
              </w:rPr>
            </w:pPr>
            <w:r>
              <w:rPr>
                <w:rFonts w:ascii="宋体" w:hAnsi="宋体" w:cs="宋体"/>
                <w:sz w:val="24"/>
              </w:rPr>
              <w:t>7</w:t>
            </w:r>
          </w:p>
        </w:tc>
        <w:tc>
          <w:tcPr>
            <w:tcW w:w="1233" w:type="dxa"/>
            <w:vMerge w:val="restart"/>
            <w:tcMar>
              <w:top w:w="90" w:type="dxa"/>
              <w:left w:w="90" w:type="dxa"/>
              <w:bottom w:w="90" w:type="dxa"/>
              <w:right w:w="90" w:type="dxa"/>
            </w:tcMar>
            <w:vAlign w:val="top"/>
          </w:tcPr>
          <w:p>
            <w:pPr>
              <w:pStyle w:val="18"/>
              <w:jc w:val="center"/>
              <w:rPr>
                <w:rFonts w:hint="default"/>
              </w:rPr>
            </w:pPr>
            <w:r>
              <w:rPr>
                <w:rFonts w:ascii="宋体" w:hAnsi="宋体" w:cs="宋体"/>
                <w:sz w:val="24"/>
              </w:rPr>
              <w:t>介质管理</w:t>
            </w:r>
          </w:p>
        </w:tc>
        <w:tc>
          <w:tcPr>
            <w:tcW w:w="7870" w:type="dxa"/>
            <w:tcMar>
              <w:top w:w="90" w:type="dxa"/>
              <w:left w:w="90" w:type="dxa"/>
              <w:bottom w:w="90" w:type="dxa"/>
              <w:right w:w="90" w:type="dxa"/>
            </w:tcMar>
            <w:vAlign w:val="top"/>
          </w:tcPr>
          <w:p>
            <w:pPr>
              <w:pStyle w:val="18"/>
              <w:rPr>
                <w:rFonts w:hint="default"/>
              </w:rPr>
            </w:pPr>
            <w:r>
              <w:rPr>
                <w:rFonts w:ascii="宋体" w:hAnsi="宋体" w:cs="宋体"/>
                <w:sz w:val="24"/>
              </w:rPr>
              <w:t>a）应将介质存放在安全的环境中，对各类介质进行控制和保护，实行存储环境专人管理，并根据存档介质的目录清单定期盘点；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5" w:type="dxa"/>
            <w:tcMar>
              <w:top w:w="90" w:type="dxa"/>
              <w:left w:w="90" w:type="dxa"/>
              <w:bottom w:w="90" w:type="dxa"/>
              <w:right w:w="90" w:type="dxa"/>
            </w:tcMar>
            <w:vAlign w:val="top"/>
          </w:tcPr>
          <w:p>
            <w:pPr>
              <w:pStyle w:val="18"/>
              <w:jc w:val="center"/>
              <w:rPr>
                <w:rFonts w:hint="default"/>
              </w:rPr>
            </w:pPr>
            <w:r>
              <w:rPr>
                <w:rFonts w:ascii="宋体" w:hAnsi="宋体" w:cs="宋体"/>
                <w:sz w:val="24"/>
              </w:rPr>
              <w:t>8</w:t>
            </w:r>
          </w:p>
        </w:tc>
        <w:tc>
          <w:tcPr>
            <w:tcW w:w="1233" w:type="dxa"/>
            <w:vMerge w:val="continue"/>
            <w:vAlign w:val="top"/>
          </w:tcPr>
          <w:p/>
        </w:tc>
        <w:tc>
          <w:tcPr>
            <w:tcW w:w="7870" w:type="dxa"/>
            <w:tcMar>
              <w:top w:w="90" w:type="dxa"/>
              <w:left w:w="90" w:type="dxa"/>
              <w:bottom w:w="90" w:type="dxa"/>
              <w:right w:w="90" w:type="dxa"/>
            </w:tcMar>
            <w:vAlign w:val="top"/>
          </w:tcPr>
          <w:p>
            <w:pPr>
              <w:pStyle w:val="18"/>
              <w:rPr>
                <w:rFonts w:hint="default"/>
              </w:rPr>
            </w:pPr>
            <w:r>
              <w:rPr>
                <w:rFonts w:ascii="宋体" w:hAnsi="宋体" w:cs="宋体"/>
                <w:sz w:val="24"/>
              </w:rPr>
              <w:t>b）应对介质在物理传输过程中的人员选择、打包、交付等情况进行控制，并对介质的归档和查询等进行登记记录。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5" w:type="dxa"/>
            <w:tcMar>
              <w:top w:w="90" w:type="dxa"/>
              <w:left w:w="90" w:type="dxa"/>
              <w:bottom w:w="90" w:type="dxa"/>
              <w:right w:w="90" w:type="dxa"/>
            </w:tcMar>
            <w:vAlign w:val="top"/>
          </w:tcPr>
          <w:p>
            <w:pPr>
              <w:pStyle w:val="18"/>
              <w:jc w:val="center"/>
              <w:rPr>
                <w:rFonts w:hint="default"/>
              </w:rPr>
            </w:pPr>
            <w:r>
              <w:rPr>
                <w:rFonts w:ascii="宋体" w:hAnsi="宋体" w:cs="宋体"/>
                <w:sz w:val="24"/>
              </w:rPr>
              <w:t>9</w:t>
            </w:r>
          </w:p>
        </w:tc>
        <w:tc>
          <w:tcPr>
            <w:tcW w:w="1233" w:type="dxa"/>
            <w:vMerge w:val="restart"/>
            <w:tcMar>
              <w:top w:w="90" w:type="dxa"/>
              <w:left w:w="90" w:type="dxa"/>
              <w:bottom w:w="90" w:type="dxa"/>
              <w:right w:w="90" w:type="dxa"/>
            </w:tcMar>
            <w:vAlign w:val="top"/>
          </w:tcPr>
          <w:p>
            <w:pPr>
              <w:pStyle w:val="18"/>
              <w:jc w:val="center"/>
              <w:rPr>
                <w:rFonts w:hint="default"/>
              </w:rPr>
            </w:pPr>
            <w:r>
              <w:rPr>
                <w:rFonts w:ascii="宋体" w:hAnsi="宋体" w:cs="宋体"/>
                <w:sz w:val="24"/>
              </w:rPr>
              <w:t>设备维护管理</w:t>
            </w:r>
          </w:p>
        </w:tc>
        <w:tc>
          <w:tcPr>
            <w:tcW w:w="7870" w:type="dxa"/>
            <w:tcMar>
              <w:top w:w="90" w:type="dxa"/>
              <w:left w:w="90" w:type="dxa"/>
              <w:bottom w:w="90" w:type="dxa"/>
              <w:right w:w="90" w:type="dxa"/>
            </w:tcMar>
            <w:vAlign w:val="top"/>
          </w:tcPr>
          <w:p>
            <w:pPr>
              <w:pStyle w:val="18"/>
              <w:rPr>
                <w:rFonts w:hint="default"/>
              </w:rPr>
            </w:pPr>
            <w:r>
              <w:rPr>
                <w:rFonts w:ascii="宋体" w:hAnsi="宋体" w:cs="宋体"/>
                <w:sz w:val="24"/>
              </w:rPr>
              <w:t>a）应对各种设备（包括备份和冗余设备）、线路等指定专门的部门或人员定期进行维护管理；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5" w:type="dxa"/>
            <w:tcMar>
              <w:top w:w="90" w:type="dxa"/>
              <w:left w:w="90" w:type="dxa"/>
              <w:bottom w:w="90" w:type="dxa"/>
              <w:right w:w="90" w:type="dxa"/>
            </w:tcMar>
            <w:vAlign w:val="top"/>
          </w:tcPr>
          <w:p>
            <w:pPr>
              <w:pStyle w:val="18"/>
              <w:jc w:val="center"/>
              <w:rPr>
                <w:rFonts w:hint="default"/>
              </w:rPr>
            </w:pPr>
            <w:r>
              <w:rPr>
                <w:rFonts w:ascii="宋体" w:hAnsi="宋体" w:cs="宋体"/>
                <w:sz w:val="24"/>
              </w:rPr>
              <w:t>10</w:t>
            </w:r>
          </w:p>
        </w:tc>
        <w:tc>
          <w:tcPr>
            <w:tcW w:w="1233" w:type="dxa"/>
            <w:vMerge w:val="continue"/>
            <w:vAlign w:val="top"/>
          </w:tcPr>
          <w:p/>
        </w:tc>
        <w:tc>
          <w:tcPr>
            <w:tcW w:w="7870" w:type="dxa"/>
            <w:tcMar>
              <w:top w:w="90" w:type="dxa"/>
              <w:left w:w="90" w:type="dxa"/>
              <w:bottom w:w="90" w:type="dxa"/>
              <w:right w:w="90" w:type="dxa"/>
            </w:tcMar>
            <w:vAlign w:val="top"/>
          </w:tcPr>
          <w:p>
            <w:pPr>
              <w:pStyle w:val="18"/>
              <w:rPr>
                <w:rFonts w:hint="default"/>
              </w:rPr>
            </w:pPr>
            <w:r>
              <w:rPr>
                <w:rFonts w:ascii="宋体" w:hAnsi="宋体" w:cs="宋体"/>
                <w:sz w:val="24"/>
              </w:rPr>
              <w:t>b）应建立配套设施、软硬件维护方面的管理制度，对其维护进行有效的管理，包括明确维护人员的责任、维修和服务的审批、维修过程的监督控制等；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5" w:type="dxa"/>
            <w:tcMar>
              <w:top w:w="90" w:type="dxa"/>
              <w:left w:w="90" w:type="dxa"/>
              <w:bottom w:w="90" w:type="dxa"/>
              <w:right w:w="90" w:type="dxa"/>
            </w:tcMar>
            <w:vAlign w:val="top"/>
          </w:tcPr>
          <w:p>
            <w:pPr>
              <w:pStyle w:val="18"/>
              <w:jc w:val="center"/>
              <w:rPr>
                <w:rFonts w:hint="default"/>
              </w:rPr>
            </w:pPr>
            <w:r>
              <w:rPr>
                <w:rFonts w:ascii="宋体" w:hAnsi="宋体" w:cs="宋体"/>
                <w:sz w:val="24"/>
              </w:rPr>
              <w:t>11</w:t>
            </w:r>
          </w:p>
        </w:tc>
        <w:tc>
          <w:tcPr>
            <w:tcW w:w="1233" w:type="dxa"/>
            <w:vMerge w:val="continue"/>
            <w:vAlign w:val="top"/>
          </w:tcPr>
          <w:p/>
        </w:tc>
        <w:tc>
          <w:tcPr>
            <w:tcW w:w="7870" w:type="dxa"/>
            <w:tcMar>
              <w:top w:w="90" w:type="dxa"/>
              <w:left w:w="90" w:type="dxa"/>
              <w:bottom w:w="90" w:type="dxa"/>
              <w:right w:w="90" w:type="dxa"/>
            </w:tcMar>
            <w:vAlign w:val="top"/>
          </w:tcPr>
          <w:p>
            <w:pPr>
              <w:pStyle w:val="18"/>
              <w:rPr>
                <w:rFonts w:hint="default"/>
              </w:rPr>
            </w:pPr>
            <w:r>
              <w:rPr>
                <w:rFonts w:ascii="宋体" w:hAnsi="宋体" w:cs="宋体"/>
                <w:sz w:val="24"/>
              </w:rPr>
              <w:t>c）信息处理设备应经过审批才能带离机房或办公地点，含有存储介质的设备带出工作环境时其中重要数据应加密；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5" w:type="dxa"/>
            <w:tcMar>
              <w:top w:w="90" w:type="dxa"/>
              <w:left w:w="90" w:type="dxa"/>
              <w:bottom w:w="90" w:type="dxa"/>
              <w:right w:w="90" w:type="dxa"/>
            </w:tcMar>
            <w:vAlign w:val="top"/>
          </w:tcPr>
          <w:p>
            <w:pPr>
              <w:pStyle w:val="18"/>
              <w:jc w:val="center"/>
              <w:rPr>
                <w:rFonts w:hint="default"/>
              </w:rPr>
            </w:pPr>
            <w:r>
              <w:rPr>
                <w:rFonts w:ascii="宋体" w:hAnsi="宋体" w:cs="宋体"/>
                <w:sz w:val="24"/>
              </w:rPr>
              <w:t>12</w:t>
            </w:r>
          </w:p>
        </w:tc>
        <w:tc>
          <w:tcPr>
            <w:tcW w:w="1233" w:type="dxa"/>
            <w:vMerge w:val="continue"/>
            <w:vAlign w:val="top"/>
          </w:tcPr>
          <w:p/>
        </w:tc>
        <w:tc>
          <w:tcPr>
            <w:tcW w:w="7870" w:type="dxa"/>
            <w:tcMar>
              <w:top w:w="90" w:type="dxa"/>
              <w:left w:w="90" w:type="dxa"/>
              <w:bottom w:w="90" w:type="dxa"/>
              <w:right w:w="90" w:type="dxa"/>
            </w:tcMar>
            <w:vAlign w:val="top"/>
          </w:tcPr>
          <w:p>
            <w:pPr>
              <w:pStyle w:val="18"/>
              <w:rPr>
                <w:rFonts w:hint="default"/>
              </w:rPr>
            </w:pPr>
            <w:r>
              <w:rPr>
                <w:rFonts w:ascii="宋体" w:hAnsi="宋体" w:cs="宋体"/>
                <w:sz w:val="24"/>
              </w:rPr>
              <w:t>d）含有存储介质的设备在报废或重用前，应进行完全清除或被安全覆盖，保证该设备上的敏感数据和授权软件无法被恢复重用。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5" w:type="dxa"/>
            <w:tcMar>
              <w:top w:w="90" w:type="dxa"/>
              <w:left w:w="90" w:type="dxa"/>
              <w:bottom w:w="90" w:type="dxa"/>
              <w:right w:w="90" w:type="dxa"/>
            </w:tcMar>
            <w:vAlign w:val="top"/>
          </w:tcPr>
          <w:p>
            <w:pPr>
              <w:pStyle w:val="18"/>
              <w:jc w:val="center"/>
              <w:rPr>
                <w:rFonts w:hint="default"/>
              </w:rPr>
            </w:pPr>
            <w:r>
              <w:rPr>
                <w:rFonts w:ascii="宋体" w:hAnsi="宋体" w:cs="宋体"/>
                <w:sz w:val="24"/>
              </w:rPr>
              <w:t>13</w:t>
            </w:r>
          </w:p>
        </w:tc>
        <w:tc>
          <w:tcPr>
            <w:tcW w:w="1233" w:type="dxa"/>
            <w:vMerge w:val="restart"/>
            <w:tcMar>
              <w:top w:w="90" w:type="dxa"/>
              <w:left w:w="90" w:type="dxa"/>
              <w:bottom w:w="90" w:type="dxa"/>
              <w:right w:w="90" w:type="dxa"/>
            </w:tcMar>
            <w:vAlign w:val="top"/>
          </w:tcPr>
          <w:p>
            <w:pPr>
              <w:pStyle w:val="18"/>
              <w:jc w:val="center"/>
              <w:rPr>
                <w:rFonts w:hint="default"/>
              </w:rPr>
            </w:pPr>
            <w:r>
              <w:rPr>
                <w:rFonts w:ascii="宋体" w:hAnsi="宋体" w:cs="宋体"/>
                <w:sz w:val="24"/>
              </w:rPr>
              <w:t>漏洞和风险管理</w:t>
            </w:r>
          </w:p>
        </w:tc>
        <w:tc>
          <w:tcPr>
            <w:tcW w:w="7870" w:type="dxa"/>
            <w:tcMar>
              <w:top w:w="90" w:type="dxa"/>
              <w:left w:w="90" w:type="dxa"/>
              <w:bottom w:w="90" w:type="dxa"/>
              <w:right w:w="90" w:type="dxa"/>
            </w:tcMar>
            <w:vAlign w:val="top"/>
          </w:tcPr>
          <w:p>
            <w:pPr>
              <w:pStyle w:val="18"/>
              <w:rPr>
                <w:rFonts w:hint="default"/>
              </w:rPr>
            </w:pPr>
            <w:r>
              <w:rPr>
                <w:rFonts w:ascii="宋体" w:hAnsi="宋体" w:cs="宋体"/>
                <w:sz w:val="24"/>
              </w:rPr>
              <w:t>a）应采取必要的措施识别安全漏洞和隐患，对发现的安全漏洞和隐患及时进行修补或评估可能的影响后进行修补；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5" w:type="dxa"/>
            <w:tcMar>
              <w:top w:w="90" w:type="dxa"/>
              <w:left w:w="90" w:type="dxa"/>
              <w:bottom w:w="90" w:type="dxa"/>
              <w:right w:w="90" w:type="dxa"/>
            </w:tcMar>
            <w:vAlign w:val="top"/>
          </w:tcPr>
          <w:p>
            <w:pPr>
              <w:pStyle w:val="18"/>
              <w:jc w:val="center"/>
              <w:rPr>
                <w:rFonts w:hint="default"/>
              </w:rPr>
            </w:pPr>
            <w:r>
              <w:rPr>
                <w:rFonts w:ascii="宋体" w:hAnsi="宋体" w:cs="宋体"/>
                <w:sz w:val="24"/>
              </w:rPr>
              <w:t>14</w:t>
            </w:r>
          </w:p>
        </w:tc>
        <w:tc>
          <w:tcPr>
            <w:tcW w:w="1233" w:type="dxa"/>
            <w:vMerge w:val="continue"/>
            <w:vAlign w:val="top"/>
          </w:tcPr>
          <w:p/>
        </w:tc>
        <w:tc>
          <w:tcPr>
            <w:tcW w:w="7870" w:type="dxa"/>
            <w:tcMar>
              <w:top w:w="90" w:type="dxa"/>
              <w:left w:w="90" w:type="dxa"/>
              <w:bottom w:w="90" w:type="dxa"/>
              <w:right w:w="90" w:type="dxa"/>
            </w:tcMar>
            <w:vAlign w:val="top"/>
          </w:tcPr>
          <w:p>
            <w:pPr>
              <w:pStyle w:val="18"/>
              <w:rPr>
                <w:rFonts w:hint="default"/>
              </w:rPr>
            </w:pPr>
            <w:r>
              <w:rPr>
                <w:rFonts w:ascii="宋体" w:hAnsi="宋体" w:cs="宋体"/>
                <w:sz w:val="24"/>
              </w:rPr>
              <w:t>b）应定期开展安全测评，形成安全测评报告，采取措施应对发现的安全问题。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5" w:type="dxa"/>
            <w:tcMar>
              <w:top w:w="90" w:type="dxa"/>
              <w:left w:w="90" w:type="dxa"/>
              <w:bottom w:w="90" w:type="dxa"/>
              <w:right w:w="90" w:type="dxa"/>
            </w:tcMar>
            <w:vAlign w:val="top"/>
          </w:tcPr>
          <w:p>
            <w:pPr>
              <w:pStyle w:val="18"/>
              <w:jc w:val="center"/>
              <w:rPr>
                <w:rFonts w:hint="default"/>
              </w:rPr>
            </w:pPr>
            <w:r>
              <w:rPr>
                <w:rFonts w:ascii="宋体" w:hAnsi="宋体" w:cs="宋体"/>
                <w:sz w:val="24"/>
              </w:rPr>
              <w:t>15</w:t>
            </w:r>
          </w:p>
        </w:tc>
        <w:tc>
          <w:tcPr>
            <w:tcW w:w="1233" w:type="dxa"/>
            <w:vMerge w:val="restart"/>
            <w:tcMar>
              <w:top w:w="90" w:type="dxa"/>
              <w:left w:w="90" w:type="dxa"/>
              <w:bottom w:w="90" w:type="dxa"/>
              <w:right w:w="90" w:type="dxa"/>
            </w:tcMar>
            <w:vAlign w:val="top"/>
          </w:tcPr>
          <w:p>
            <w:pPr>
              <w:pStyle w:val="18"/>
              <w:jc w:val="center"/>
              <w:rPr>
                <w:rFonts w:hint="default"/>
              </w:rPr>
            </w:pPr>
            <w:r>
              <w:rPr>
                <w:rFonts w:ascii="宋体" w:hAnsi="宋体" w:cs="宋体"/>
                <w:sz w:val="24"/>
              </w:rPr>
              <w:t>网络和系统安全管理</w:t>
            </w:r>
          </w:p>
        </w:tc>
        <w:tc>
          <w:tcPr>
            <w:tcW w:w="7870" w:type="dxa"/>
            <w:tcMar>
              <w:top w:w="90" w:type="dxa"/>
              <w:left w:w="90" w:type="dxa"/>
              <w:bottom w:w="90" w:type="dxa"/>
              <w:right w:w="90" w:type="dxa"/>
            </w:tcMar>
            <w:vAlign w:val="top"/>
          </w:tcPr>
          <w:p>
            <w:pPr>
              <w:pStyle w:val="18"/>
              <w:rPr>
                <w:rFonts w:hint="default"/>
              </w:rPr>
            </w:pPr>
            <w:r>
              <w:rPr>
                <w:rFonts w:ascii="宋体" w:hAnsi="宋体" w:cs="宋体"/>
                <w:sz w:val="24"/>
              </w:rPr>
              <w:t>a）应划分不同的管理员角色进行网络和系统的运维管理，明确各个角色的责任和权限；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5" w:type="dxa"/>
            <w:tcMar>
              <w:top w:w="90" w:type="dxa"/>
              <w:left w:w="90" w:type="dxa"/>
              <w:bottom w:w="90" w:type="dxa"/>
              <w:right w:w="90" w:type="dxa"/>
            </w:tcMar>
            <w:vAlign w:val="top"/>
          </w:tcPr>
          <w:p>
            <w:pPr>
              <w:pStyle w:val="18"/>
              <w:jc w:val="center"/>
              <w:rPr>
                <w:rFonts w:hint="default"/>
              </w:rPr>
            </w:pPr>
            <w:r>
              <w:rPr>
                <w:rFonts w:ascii="宋体" w:hAnsi="宋体" w:cs="宋体"/>
                <w:sz w:val="24"/>
              </w:rPr>
              <w:t>16</w:t>
            </w:r>
          </w:p>
        </w:tc>
        <w:tc>
          <w:tcPr>
            <w:tcW w:w="1233" w:type="dxa"/>
            <w:vMerge w:val="continue"/>
            <w:vAlign w:val="top"/>
          </w:tcPr>
          <w:p/>
        </w:tc>
        <w:tc>
          <w:tcPr>
            <w:tcW w:w="7870" w:type="dxa"/>
            <w:tcMar>
              <w:top w:w="90" w:type="dxa"/>
              <w:left w:w="90" w:type="dxa"/>
              <w:bottom w:w="90" w:type="dxa"/>
              <w:right w:w="90" w:type="dxa"/>
            </w:tcMar>
            <w:vAlign w:val="top"/>
          </w:tcPr>
          <w:p>
            <w:pPr>
              <w:pStyle w:val="18"/>
              <w:rPr>
                <w:rFonts w:hint="default"/>
              </w:rPr>
            </w:pPr>
            <w:r>
              <w:rPr>
                <w:rFonts w:ascii="宋体" w:hAnsi="宋体" w:cs="宋体"/>
                <w:sz w:val="24"/>
              </w:rPr>
              <w:t>b）应指定专门的部门或人员进行账户管理，对申请账户、建立账户、删除账户等进行控制；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5" w:type="dxa"/>
            <w:tcMar>
              <w:top w:w="90" w:type="dxa"/>
              <w:left w:w="90" w:type="dxa"/>
              <w:bottom w:w="90" w:type="dxa"/>
              <w:right w:w="90" w:type="dxa"/>
            </w:tcMar>
            <w:vAlign w:val="top"/>
          </w:tcPr>
          <w:p>
            <w:pPr>
              <w:pStyle w:val="18"/>
              <w:jc w:val="center"/>
              <w:rPr>
                <w:rFonts w:hint="default"/>
              </w:rPr>
            </w:pPr>
            <w:r>
              <w:rPr>
                <w:rFonts w:ascii="宋体" w:hAnsi="宋体" w:cs="宋体"/>
                <w:sz w:val="24"/>
              </w:rPr>
              <w:t>17</w:t>
            </w:r>
          </w:p>
        </w:tc>
        <w:tc>
          <w:tcPr>
            <w:tcW w:w="1233" w:type="dxa"/>
            <w:vMerge w:val="continue"/>
            <w:vAlign w:val="top"/>
          </w:tcPr>
          <w:p/>
        </w:tc>
        <w:tc>
          <w:tcPr>
            <w:tcW w:w="7870" w:type="dxa"/>
            <w:tcMar>
              <w:top w:w="90" w:type="dxa"/>
              <w:left w:w="90" w:type="dxa"/>
              <w:bottom w:w="90" w:type="dxa"/>
              <w:right w:w="90" w:type="dxa"/>
            </w:tcMar>
            <w:vAlign w:val="top"/>
          </w:tcPr>
          <w:p>
            <w:pPr>
              <w:pStyle w:val="18"/>
              <w:rPr>
                <w:rFonts w:hint="default"/>
              </w:rPr>
            </w:pPr>
            <w:r>
              <w:rPr>
                <w:rFonts w:ascii="宋体" w:hAnsi="宋体" w:cs="宋体"/>
                <w:sz w:val="24"/>
              </w:rPr>
              <w:t>c）应建立网络和系统安全管理制度，对安全策略、账户管理、配置管理、日志管理、日常操作、升级与打补丁、口令更新周期等方面作出规定；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5" w:type="dxa"/>
            <w:tcMar>
              <w:top w:w="90" w:type="dxa"/>
              <w:left w:w="90" w:type="dxa"/>
              <w:bottom w:w="90" w:type="dxa"/>
              <w:right w:w="90" w:type="dxa"/>
            </w:tcMar>
            <w:vAlign w:val="top"/>
          </w:tcPr>
          <w:p>
            <w:pPr>
              <w:pStyle w:val="18"/>
              <w:jc w:val="center"/>
              <w:rPr>
                <w:rFonts w:hint="default"/>
              </w:rPr>
            </w:pPr>
            <w:r>
              <w:rPr>
                <w:rFonts w:ascii="宋体" w:hAnsi="宋体" w:cs="宋体"/>
                <w:sz w:val="24"/>
              </w:rPr>
              <w:t>18</w:t>
            </w:r>
          </w:p>
        </w:tc>
        <w:tc>
          <w:tcPr>
            <w:tcW w:w="1233" w:type="dxa"/>
            <w:vMerge w:val="continue"/>
            <w:vAlign w:val="top"/>
          </w:tcPr>
          <w:p/>
        </w:tc>
        <w:tc>
          <w:tcPr>
            <w:tcW w:w="7870" w:type="dxa"/>
            <w:tcMar>
              <w:top w:w="90" w:type="dxa"/>
              <w:left w:w="90" w:type="dxa"/>
              <w:bottom w:w="90" w:type="dxa"/>
              <w:right w:w="90" w:type="dxa"/>
            </w:tcMar>
            <w:vAlign w:val="top"/>
          </w:tcPr>
          <w:p>
            <w:pPr>
              <w:pStyle w:val="18"/>
              <w:rPr>
                <w:rFonts w:hint="default"/>
              </w:rPr>
            </w:pPr>
            <w:r>
              <w:rPr>
                <w:rFonts w:ascii="宋体" w:hAnsi="宋体" w:cs="宋体"/>
                <w:sz w:val="24"/>
              </w:rPr>
              <w:t>d）应制定重要设备的配置和操作手册，依据手册对设备进行安全配置和优化配置等；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5" w:type="dxa"/>
            <w:tcMar>
              <w:top w:w="90" w:type="dxa"/>
              <w:left w:w="90" w:type="dxa"/>
              <w:bottom w:w="90" w:type="dxa"/>
              <w:right w:w="90" w:type="dxa"/>
            </w:tcMar>
            <w:vAlign w:val="top"/>
          </w:tcPr>
          <w:p>
            <w:pPr>
              <w:pStyle w:val="18"/>
              <w:jc w:val="center"/>
              <w:rPr>
                <w:rFonts w:hint="default"/>
              </w:rPr>
            </w:pPr>
            <w:r>
              <w:rPr>
                <w:rFonts w:ascii="宋体" w:hAnsi="宋体" w:cs="宋体"/>
                <w:sz w:val="24"/>
              </w:rPr>
              <w:t>19</w:t>
            </w:r>
          </w:p>
        </w:tc>
        <w:tc>
          <w:tcPr>
            <w:tcW w:w="1233" w:type="dxa"/>
            <w:vMerge w:val="continue"/>
            <w:vAlign w:val="top"/>
          </w:tcPr>
          <w:p/>
        </w:tc>
        <w:tc>
          <w:tcPr>
            <w:tcW w:w="7870" w:type="dxa"/>
            <w:tcMar>
              <w:top w:w="90" w:type="dxa"/>
              <w:left w:w="90" w:type="dxa"/>
              <w:bottom w:w="90" w:type="dxa"/>
              <w:right w:w="90" w:type="dxa"/>
            </w:tcMar>
            <w:vAlign w:val="top"/>
          </w:tcPr>
          <w:p>
            <w:pPr>
              <w:pStyle w:val="18"/>
              <w:rPr>
                <w:rFonts w:hint="default"/>
              </w:rPr>
            </w:pPr>
            <w:r>
              <w:rPr>
                <w:rFonts w:ascii="宋体" w:hAnsi="宋体" w:cs="宋体"/>
                <w:sz w:val="24"/>
              </w:rPr>
              <w:t>e）应详细记录运维操作日志，包括日常巡检工作、运行维护记录、参数的设置和修改等内容；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5" w:type="dxa"/>
            <w:tcMar>
              <w:top w:w="90" w:type="dxa"/>
              <w:left w:w="90" w:type="dxa"/>
              <w:bottom w:w="90" w:type="dxa"/>
              <w:right w:w="90" w:type="dxa"/>
            </w:tcMar>
            <w:vAlign w:val="top"/>
          </w:tcPr>
          <w:p>
            <w:pPr>
              <w:pStyle w:val="18"/>
              <w:jc w:val="center"/>
              <w:rPr>
                <w:rFonts w:hint="default"/>
              </w:rPr>
            </w:pPr>
            <w:r>
              <w:rPr>
                <w:rFonts w:ascii="宋体" w:hAnsi="宋体" w:cs="宋体"/>
                <w:sz w:val="24"/>
              </w:rPr>
              <w:t>20</w:t>
            </w:r>
          </w:p>
        </w:tc>
        <w:tc>
          <w:tcPr>
            <w:tcW w:w="1233" w:type="dxa"/>
            <w:vMerge w:val="continue"/>
            <w:vAlign w:val="top"/>
          </w:tcPr>
          <w:p/>
        </w:tc>
        <w:tc>
          <w:tcPr>
            <w:tcW w:w="7870" w:type="dxa"/>
            <w:tcMar>
              <w:top w:w="90" w:type="dxa"/>
              <w:left w:w="90" w:type="dxa"/>
              <w:bottom w:w="90" w:type="dxa"/>
              <w:right w:w="90" w:type="dxa"/>
            </w:tcMar>
            <w:vAlign w:val="top"/>
          </w:tcPr>
          <w:p>
            <w:pPr>
              <w:pStyle w:val="18"/>
              <w:rPr>
                <w:rFonts w:hint="default"/>
              </w:rPr>
            </w:pPr>
            <w:r>
              <w:rPr>
                <w:rFonts w:ascii="宋体" w:hAnsi="宋体" w:cs="宋体"/>
                <w:sz w:val="24"/>
              </w:rPr>
              <w:t>f）应指定专门的部门或人员对日志、监测和报警数据等进行分析、统计，及时发现可疑行为；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5" w:type="dxa"/>
            <w:tcMar>
              <w:top w:w="90" w:type="dxa"/>
              <w:left w:w="90" w:type="dxa"/>
              <w:bottom w:w="90" w:type="dxa"/>
              <w:right w:w="90" w:type="dxa"/>
            </w:tcMar>
            <w:vAlign w:val="top"/>
          </w:tcPr>
          <w:p>
            <w:pPr>
              <w:pStyle w:val="18"/>
              <w:jc w:val="center"/>
              <w:rPr>
                <w:rFonts w:hint="default"/>
              </w:rPr>
            </w:pPr>
            <w:r>
              <w:rPr>
                <w:rFonts w:ascii="宋体" w:hAnsi="宋体" w:cs="宋体"/>
                <w:sz w:val="24"/>
              </w:rPr>
              <w:t>21</w:t>
            </w:r>
          </w:p>
        </w:tc>
        <w:tc>
          <w:tcPr>
            <w:tcW w:w="1233" w:type="dxa"/>
            <w:vMerge w:val="continue"/>
            <w:vAlign w:val="top"/>
          </w:tcPr>
          <w:p/>
        </w:tc>
        <w:tc>
          <w:tcPr>
            <w:tcW w:w="7870" w:type="dxa"/>
            <w:tcMar>
              <w:top w:w="90" w:type="dxa"/>
              <w:left w:w="90" w:type="dxa"/>
              <w:bottom w:w="90" w:type="dxa"/>
              <w:right w:w="90" w:type="dxa"/>
            </w:tcMar>
            <w:vAlign w:val="top"/>
          </w:tcPr>
          <w:p>
            <w:pPr>
              <w:pStyle w:val="18"/>
              <w:rPr>
                <w:rFonts w:hint="default"/>
              </w:rPr>
            </w:pPr>
            <w:r>
              <w:rPr>
                <w:rFonts w:ascii="宋体" w:hAnsi="宋体" w:cs="宋体"/>
                <w:sz w:val="24"/>
              </w:rPr>
              <w:t>g）应严格控制变更性运维，经过审批后才可改变连接、安装系统组件或调整配置参数，操作过程中应保留不可更改的审计日志，操作结束后应同步更新配置信息库；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5" w:type="dxa"/>
            <w:tcMar>
              <w:top w:w="90" w:type="dxa"/>
              <w:left w:w="90" w:type="dxa"/>
              <w:bottom w:w="90" w:type="dxa"/>
              <w:right w:w="90" w:type="dxa"/>
            </w:tcMar>
            <w:vAlign w:val="top"/>
          </w:tcPr>
          <w:p>
            <w:pPr>
              <w:pStyle w:val="18"/>
              <w:jc w:val="center"/>
              <w:rPr>
                <w:rFonts w:hint="default"/>
              </w:rPr>
            </w:pPr>
            <w:r>
              <w:rPr>
                <w:rFonts w:ascii="宋体" w:hAnsi="宋体" w:cs="宋体"/>
                <w:sz w:val="24"/>
              </w:rPr>
              <w:t>22</w:t>
            </w:r>
          </w:p>
        </w:tc>
        <w:tc>
          <w:tcPr>
            <w:tcW w:w="1233" w:type="dxa"/>
            <w:vMerge w:val="continue"/>
            <w:vAlign w:val="top"/>
          </w:tcPr>
          <w:p/>
        </w:tc>
        <w:tc>
          <w:tcPr>
            <w:tcW w:w="7870" w:type="dxa"/>
            <w:tcMar>
              <w:top w:w="90" w:type="dxa"/>
              <w:left w:w="90" w:type="dxa"/>
              <w:bottom w:w="90" w:type="dxa"/>
              <w:right w:w="90" w:type="dxa"/>
            </w:tcMar>
            <w:vAlign w:val="top"/>
          </w:tcPr>
          <w:p>
            <w:pPr>
              <w:pStyle w:val="18"/>
              <w:rPr>
                <w:rFonts w:hint="default"/>
              </w:rPr>
            </w:pPr>
            <w:r>
              <w:rPr>
                <w:rFonts w:ascii="宋体" w:hAnsi="宋体" w:cs="宋体"/>
                <w:sz w:val="24"/>
              </w:rPr>
              <w:t>h）应严格控制运维工具的使用，经过审批后才可接入进行操作，操作过程中应保留不可更改的审计日志，操作结束后应删除工具中的敏感数据；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5" w:type="dxa"/>
            <w:tcMar>
              <w:top w:w="90" w:type="dxa"/>
              <w:left w:w="90" w:type="dxa"/>
              <w:bottom w:w="90" w:type="dxa"/>
              <w:right w:w="90" w:type="dxa"/>
            </w:tcMar>
            <w:vAlign w:val="top"/>
          </w:tcPr>
          <w:p>
            <w:pPr>
              <w:pStyle w:val="18"/>
              <w:jc w:val="center"/>
              <w:rPr>
                <w:rFonts w:hint="default"/>
              </w:rPr>
            </w:pPr>
            <w:r>
              <w:rPr>
                <w:rFonts w:ascii="宋体" w:hAnsi="宋体" w:cs="宋体"/>
                <w:sz w:val="24"/>
              </w:rPr>
              <w:t>23</w:t>
            </w:r>
          </w:p>
        </w:tc>
        <w:tc>
          <w:tcPr>
            <w:tcW w:w="1233" w:type="dxa"/>
            <w:vMerge w:val="continue"/>
            <w:vAlign w:val="top"/>
          </w:tcPr>
          <w:p/>
        </w:tc>
        <w:tc>
          <w:tcPr>
            <w:tcW w:w="7870" w:type="dxa"/>
            <w:tcMar>
              <w:top w:w="90" w:type="dxa"/>
              <w:left w:w="90" w:type="dxa"/>
              <w:bottom w:w="90" w:type="dxa"/>
              <w:right w:w="90" w:type="dxa"/>
            </w:tcMar>
            <w:vAlign w:val="top"/>
          </w:tcPr>
          <w:p>
            <w:pPr>
              <w:pStyle w:val="18"/>
              <w:rPr>
                <w:rFonts w:hint="default"/>
              </w:rPr>
            </w:pPr>
            <w:r>
              <w:rPr>
                <w:rFonts w:ascii="宋体" w:hAnsi="宋体" w:cs="宋体"/>
                <w:sz w:val="24"/>
              </w:rPr>
              <w:t>i）应严格控制远程运维的开通，经过审批后才可开通远程运维接口或通道，操作过程中应保留不可更改的审计日志，操作结束后立即关闭接口或通道；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5" w:type="dxa"/>
            <w:tcMar>
              <w:top w:w="90" w:type="dxa"/>
              <w:left w:w="90" w:type="dxa"/>
              <w:bottom w:w="90" w:type="dxa"/>
              <w:right w:w="90" w:type="dxa"/>
            </w:tcMar>
            <w:vAlign w:val="top"/>
          </w:tcPr>
          <w:p>
            <w:pPr>
              <w:pStyle w:val="18"/>
              <w:jc w:val="center"/>
              <w:rPr>
                <w:rFonts w:hint="default"/>
              </w:rPr>
            </w:pPr>
            <w:r>
              <w:rPr>
                <w:rFonts w:ascii="宋体" w:hAnsi="宋体" w:cs="宋体"/>
                <w:sz w:val="24"/>
              </w:rPr>
              <w:t>24</w:t>
            </w:r>
          </w:p>
        </w:tc>
        <w:tc>
          <w:tcPr>
            <w:tcW w:w="1233" w:type="dxa"/>
            <w:vMerge w:val="continue"/>
            <w:vAlign w:val="top"/>
          </w:tcPr>
          <w:p/>
        </w:tc>
        <w:tc>
          <w:tcPr>
            <w:tcW w:w="7870" w:type="dxa"/>
            <w:tcMar>
              <w:top w:w="90" w:type="dxa"/>
              <w:left w:w="90" w:type="dxa"/>
              <w:bottom w:w="90" w:type="dxa"/>
              <w:right w:w="90" w:type="dxa"/>
            </w:tcMar>
            <w:vAlign w:val="top"/>
          </w:tcPr>
          <w:p>
            <w:pPr>
              <w:pStyle w:val="18"/>
              <w:rPr>
                <w:rFonts w:hint="default"/>
              </w:rPr>
            </w:pPr>
            <w:r>
              <w:rPr>
                <w:rFonts w:ascii="宋体" w:hAnsi="宋体" w:cs="宋体"/>
                <w:sz w:val="24"/>
              </w:rPr>
              <w:t>j）应保证所有与外部的连接均得到授权和批准，应定期检查违反规定无线上网及其他违反网络安全策略的行为。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5" w:type="dxa"/>
            <w:tcMar>
              <w:top w:w="90" w:type="dxa"/>
              <w:left w:w="90" w:type="dxa"/>
              <w:bottom w:w="90" w:type="dxa"/>
              <w:right w:w="90" w:type="dxa"/>
            </w:tcMar>
            <w:vAlign w:val="top"/>
          </w:tcPr>
          <w:p>
            <w:pPr>
              <w:pStyle w:val="18"/>
              <w:jc w:val="center"/>
              <w:rPr>
                <w:rFonts w:hint="default"/>
              </w:rPr>
            </w:pPr>
            <w:r>
              <w:rPr>
                <w:rFonts w:ascii="宋体" w:hAnsi="宋体" w:cs="宋体"/>
                <w:sz w:val="24"/>
              </w:rPr>
              <w:t>25</w:t>
            </w:r>
          </w:p>
        </w:tc>
        <w:tc>
          <w:tcPr>
            <w:tcW w:w="1233" w:type="dxa"/>
            <w:vMerge w:val="restart"/>
            <w:tcMar>
              <w:top w:w="90" w:type="dxa"/>
              <w:left w:w="90" w:type="dxa"/>
              <w:bottom w:w="90" w:type="dxa"/>
              <w:right w:w="90" w:type="dxa"/>
            </w:tcMar>
            <w:vAlign w:val="top"/>
          </w:tcPr>
          <w:p>
            <w:pPr>
              <w:pStyle w:val="18"/>
              <w:jc w:val="center"/>
              <w:rPr>
                <w:rFonts w:hint="default"/>
              </w:rPr>
            </w:pPr>
            <w:r>
              <w:rPr>
                <w:rFonts w:ascii="宋体" w:hAnsi="宋体" w:cs="宋体"/>
                <w:sz w:val="24"/>
              </w:rPr>
              <w:t>恶意代码防范管理</w:t>
            </w:r>
          </w:p>
        </w:tc>
        <w:tc>
          <w:tcPr>
            <w:tcW w:w="7870" w:type="dxa"/>
            <w:tcMar>
              <w:top w:w="90" w:type="dxa"/>
              <w:left w:w="90" w:type="dxa"/>
              <w:bottom w:w="90" w:type="dxa"/>
              <w:right w:w="90" w:type="dxa"/>
            </w:tcMar>
            <w:vAlign w:val="top"/>
          </w:tcPr>
          <w:p>
            <w:pPr>
              <w:pStyle w:val="18"/>
              <w:rPr>
                <w:rFonts w:hint="default"/>
              </w:rPr>
            </w:pPr>
            <w:r>
              <w:rPr>
                <w:rFonts w:ascii="宋体" w:hAnsi="宋体" w:cs="宋体"/>
                <w:sz w:val="24"/>
              </w:rPr>
              <w:t>a）应提高所有用户的防恶意代码意识，对外来计算机或存储设备接入系统前进行恶意代码检查等；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5" w:type="dxa"/>
            <w:tcMar>
              <w:top w:w="90" w:type="dxa"/>
              <w:left w:w="90" w:type="dxa"/>
              <w:bottom w:w="90" w:type="dxa"/>
              <w:right w:w="90" w:type="dxa"/>
            </w:tcMar>
            <w:vAlign w:val="top"/>
          </w:tcPr>
          <w:p>
            <w:pPr>
              <w:pStyle w:val="18"/>
              <w:jc w:val="center"/>
              <w:rPr>
                <w:rFonts w:hint="default"/>
              </w:rPr>
            </w:pPr>
            <w:r>
              <w:rPr>
                <w:rFonts w:ascii="宋体" w:hAnsi="宋体" w:cs="宋体"/>
                <w:sz w:val="24"/>
              </w:rPr>
              <w:t>26</w:t>
            </w:r>
          </w:p>
        </w:tc>
        <w:tc>
          <w:tcPr>
            <w:tcW w:w="1233" w:type="dxa"/>
            <w:vMerge w:val="continue"/>
            <w:vAlign w:val="top"/>
          </w:tcPr>
          <w:p/>
        </w:tc>
        <w:tc>
          <w:tcPr>
            <w:tcW w:w="7870" w:type="dxa"/>
            <w:tcMar>
              <w:top w:w="90" w:type="dxa"/>
              <w:left w:w="90" w:type="dxa"/>
              <w:bottom w:w="90" w:type="dxa"/>
              <w:right w:w="90" w:type="dxa"/>
            </w:tcMar>
            <w:vAlign w:val="top"/>
          </w:tcPr>
          <w:p>
            <w:pPr>
              <w:pStyle w:val="18"/>
              <w:rPr>
                <w:rFonts w:hint="default"/>
              </w:rPr>
            </w:pPr>
            <w:r>
              <w:rPr>
                <w:rFonts w:ascii="宋体" w:hAnsi="宋体" w:cs="宋体"/>
                <w:sz w:val="24"/>
              </w:rPr>
              <w:t>b）应定期验证防范恶意代码攻击的技术措施的有效性。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5" w:type="dxa"/>
            <w:tcMar>
              <w:top w:w="90" w:type="dxa"/>
              <w:left w:w="90" w:type="dxa"/>
              <w:bottom w:w="90" w:type="dxa"/>
              <w:right w:w="90" w:type="dxa"/>
            </w:tcMar>
            <w:vAlign w:val="top"/>
          </w:tcPr>
          <w:p>
            <w:pPr>
              <w:pStyle w:val="18"/>
              <w:jc w:val="center"/>
              <w:rPr>
                <w:rFonts w:hint="default"/>
              </w:rPr>
            </w:pPr>
            <w:r>
              <w:rPr>
                <w:rFonts w:ascii="宋体" w:hAnsi="宋体" w:cs="宋体"/>
                <w:sz w:val="24"/>
              </w:rPr>
              <w:t>27</w:t>
            </w:r>
          </w:p>
        </w:tc>
        <w:tc>
          <w:tcPr>
            <w:tcW w:w="1233" w:type="dxa"/>
            <w:vMerge w:val="restart"/>
            <w:tcMar>
              <w:top w:w="90" w:type="dxa"/>
              <w:left w:w="90" w:type="dxa"/>
              <w:bottom w:w="90" w:type="dxa"/>
              <w:right w:w="90" w:type="dxa"/>
            </w:tcMar>
            <w:vAlign w:val="top"/>
          </w:tcPr>
          <w:p>
            <w:pPr>
              <w:pStyle w:val="18"/>
              <w:jc w:val="center"/>
              <w:rPr>
                <w:rFonts w:hint="default"/>
              </w:rPr>
            </w:pPr>
            <w:r>
              <w:rPr>
                <w:rFonts w:ascii="宋体" w:hAnsi="宋体" w:cs="宋体"/>
                <w:sz w:val="24"/>
              </w:rPr>
              <w:t>配置管理</w:t>
            </w:r>
          </w:p>
        </w:tc>
        <w:tc>
          <w:tcPr>
            <w:tcW w:w="7870" w:type="dxa"/>
            <w:tcMar>
              <w:top w:w="90" w:type="dxa"/>
              <w:left w:w="90" w:type="dxa"/>
              <w:bottom w:w="90" w:type="dxa"/>
              <w:right w:w="90" w:type="dxa"/>
            </w:tcMar>
            <w:vAlign w:val="top"/>
          </w:tcPr>
          <w:p>
            <w:pPr>
              <w:pStyle w:val="18"/>
              <w:rPr>
                <w:rFonts w:hint="default"/>
              </w:rPr>
            </w:pPr>
            <w:r>
              <w:rPr>
                <w:rFonts w:ascii="宋体" w:hAnsi="宋体" w:cs="宋体"/>
                <w:sz w:val="24"/>
              </w:rPr>
              <w:t>a）应记录和保存基本配置信息，包括网络拓扑结构、各个设备安装的软件组件、软件组件的版本和补丁信息、各个设备或软件组件的配置参数等；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5" w:type="dxa"/>
            <w:tcMar>
              <w:top w:w="90" w:type="dxa"/>
              <w:left w:w="90" w:type="dxa"/>
              <w:bottom w:w="90" w:type="dxa"/>
              <w:right w:w="90" w:type="dxa"/>
            </w:tcMar>
            <w:vAlign w:val="top"/>
          </w:tcPr>
          <w:p>
            <w:pPr>
              <w:pStyle w:val="18"/>
              <w:jc w:val="center"/>
              <w:rPr>
                <w:rFonts w:hint="default"/>
              </w:rPr>
            </w:pPr>
            <w:r>
              <w:rPr>
                <w:rFonts w:ascii="宋体" w:hAnsi="宋体" w:cs="宋体"/>
                <w:sz w:val="24"/>
              </w:rPr>
              <w:t>28</w:t>
            </w:r>
          </w:p>
        </w:tc>
        <w:tc>
          <w:tcPr>
            <w:tcW w:w="1233" w:type="dxa"/>
            <w:vMerge w:val="continue"/>
            <w:vAlign w:val="top"/>
          </w:tcPr>
          <w:p/>
        </w:tc>
        <w:tc>
          <w:tcPr>
            <w:tcW w:w="7870" w:type="dxa"/>
            <w:tcMar>
              <w:top w:w="90" w:type="dxa"/>
              <w:left w:w="90" w:type="dxa"/>
              <w:bottom w:w="90" w:type="dxa"/>
              <w:right w:w="90" w:type="dxa"/>
            </w:tcMar>
            <w:vAlign w:val="top"/>
          </w:tcPr>
          <w:p>
            <w:pPr>
              <w:pStyle w:val="18"/>
              <w:rPr>
                <w:rFonts w:hint="default"/>
              </w:rPr>
            </w:pPr>
            <w:r>
              <w:rPr>
                <w:rFonts w:ascii="宋体" w:hAnsi="宋体" w:cs="宋体"/>
                <w:sz w:val="24"/>
              </w:rPr>
              <w:t>b）应将基本配置信息改变纳入变更范畴，实施对配置信息改变的控制，并及时更新基本配置信息库。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5" w:type="dxa"/>
            <w:tcMar>
              <w:top w:w="90" w:type="dxa"/>
              <w:left w:w="90" w:type="dxa"/>
              <w:bottom w:w="90" w:type="dxa"/>
              <w:right w:w="90" w:type="dxa"/>
            </w:tcMar>
            <w:vAlign w:val="top"/>
          </w:tcPr>
          <w:p>
            <w:pPr>
              <w:pStyle w:val="18"/>
              <w:jc w:val="center"/>
              <w:rPr>
                <w:rFonts w:hint="default"/>
              </w:rPr>
            </w:pPr>
            <w:r>
              <w:rPr>
                <w:rFonts w:ascii="宋体" w:hAnsi="宋体" w:cs="宋体"/>
                <w:sz w:val="24"/>
              </w:rPr>
              <w:t>29</w:t>
            </w:r>
          </w:p>
        </w:tc>
        <w:tc>
          <w:tcPr>
            <w:tcW w:w="1233" w:type="dxa"/>
            <w:vMerge w:val="restart"/>
            <w:tcMar>
              <w:top w:w="90" w:type="dxa"/>
              <w:left w:w="90" w:type="dxa"/>
              <w:bottom w:w="90" w:type="dxa"/>
              <w:right w:w="90" w:type="dxa"/>
            </w:tcMar>
            <w:vAlign w:val="top"/>
          </w:tcPr>
          <w:p>
            <w:pPr>
              <w:pStyle w:val="18"/>
              <w:jc w:val="center"/>
              <w:rPr>
                <w:rFonts w:hint="default"/>
              </w:rPr>
            </w:pPr>
            <w:r>
              <w:rPr>
                <w:rFonts w:ascii="宋体" w:hAnsi="宋体" w:cs="宋体"/>
                <w:sz w:val="24"/>
              </w:rPr>
              <w:t>密码管理</w:t>
            </w:r>
          </w:p>
        </w:tc>
        <w:tc>
          <w:tcPr>
            <w:tcW w:w="7870" w:type="dxa"/>
            <w:tcMar>
              <w:top w:w="90" w:type="dxa"/>
              <w:left w:w="90" w:type="dxa"/>
              <w:bottom w:w="90" w:type="dxa"/>
              <w:right w:w="90" w:type="dxa"/>
            </w:tcMar>
            <w:vAlign w:val="top"/>
          </w:tcPr>
          <w:p>
            <w:pPr>
              <w:pStyle w:val="18"/>
              <w:rPr>
                <w:rFonts w:hint="default"/>
              </w:rPr>
            </w:pPr>
            <w:r>
              <w:rPr>
                <w:rFonts w:ascii="宋体" w:hAnsi="宋体" w:cs="宋体"/>
                <w:sz w:val="24"/>
              </w:rPr>
              <w:t>a）应遵循密码相关国家标准和行业标准；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5" w:type="dxa"/>
            <w:tcMar>
              <w:top w:w="90" w:type="dxa"/>
              <w:left w:w="90" w:type="dxa"/>
              <w:bottom w:w="90" w:type="dxa"/>
              <w:right w:w="90" w:type="dxa"/>
            </w:tcMar>
            <w:vAlign w:val="top"/>
          </w:tcPr>
          <w:p>
            <w:pPr>
              <w:pStyle w:val="18"/>
              <w:jc w:val="center"/>
              <w:rPr>
                <w:rFonts w:hint="default"/>
              </w:rPr>
            </w:pPr>
            <w:r>
              <w:rPr>
                <w:rFonts w:ascii="宋体" w:hAnsi="宋体" w:cs="宋体"/>
                <w:sz w:val="24"/>
              </w:rPr>
              <w:t>30</w:t>
            </w:r>
          </w:p>
        </w:tc>
        <w:tc>
          <w:tcPr>
            <w:tcW w:w="1233" w:type="dxa"/>
            <w:vMerge w:val="continue"/>
            <w:vAlign w:val="top"/>
          </w:tcPr>
          <w:p/>
        </w:tc>
        <w:tc>
          <w:tcPr>
            <w:tcW w:w="7870" w:type="dxa"/>
            <w:tcMar>
              <w:top w:w="90" w:type="dxa"/>
              <w:left w:w="90" w:type="dxa"/>
              <w:bottom w:w="90" w:type="dxa"/>
              <w:right w:w="90" w:type="dxa"/>
            </w:tcMar>
            <w:vAlign w:val="top"/>
          </w:tcPr>
          <w:p>
            <w:pPr>
              <w:pStyle w:val="18"/>
              <w:rPr>
                <w:rFonts w:hint="default"/>
              </w:rPr>
            </w:pPr>
            <w:r>
              <w:rPr>
                <w:rFonts w:ascii="宋体" w:hAnsi="宋体" w:cs="宋体"/>
                <w:sz w:val="24"/>
              </w:rPr>
              <w:t>b）应使用国家密码管理主管部门认证核准的密码技术和产品。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5" w:type="dxa"/>
            <w:tcMar>
              <w:top w:w="90" w:type="dxa"/>
              <w:left w:w="90" w:type="dxa"/>
              <w:bottom w:w="90" w:type="dxa"/>
              <w:right w:w="90" w:type="dxa"/>
            </w:tcMar>
            <w:vAlign w:val="top"/>
          </w:tcPr>
          <w:p>
            <w:pPr>
              <w:pStyle w:val="18"/>
              <w:jc w:val="center"/>
              <w:rPr>
                <w:rFonts w:hint="default"/>
              </w:rPr>
            </w:pPr>
            <w:r>
              <w:rPr>
                <w:rFonts w:ascii="宋体" w:hAnsi="宋体" w:cs="宋体"/>
                <w:sz w:val="24"/>
              </w:rPr>
              <w:t>31</w:t>
            </w:r>
          </w:p>
        </w:tc>
        <w:tc>
          <w:tcPr>
            <w:tcW w:w="1233" w:type="dxa"/>
            <w:vMerge w:val="restart"/>
            <w:tcMar>
              <w:top w:w="90" w:type="dxa"/>
              <w:left w:w="90" w:type="dxa"/>
              <w:bottom w:w="90" w:type="dxa"/>
              <w:right w:w="90" w:type="dxa"/>
            </w:tcMar>
            <w:vAlign w:val="top"/>
          </w:tcPr>
          <w:p>
            <w:pPr>
              <w:pStyle w:val="18"/>
              <w:jc w:val="center"/>
              <w:rPr>
                <w:rFonts w:hint="default"/>
              </w:rPr>
            </w:pPr>
            <w:r>
              <w:rPr>
                <w:rFonts w:ascii="宋体" w:hAnsi="宋体" w:cs="宋体"/>
                <w:sz w:val="24"/>
              </w:rPr>
              <w:t>变更管理</w:t>
            </w:r>
          </w:p>
        </w:tc>
        <w:tc>
          <w:tcPr>
            <w:tcW w:w="7870" w:type="dxa"/>
            <w:tcMar>
              <w:top w:w="90" w:type="dxa"/>
              <w:left w:w="90" w:type="dxa"/>
              <w:bottom w:w="90" w:type="dxa"/>
              <w:right w:w="90" w:type="dxa"/>
            </w:tcMar>
            <w:vAlign w:val="top"/>
          </w:tcPr>
          <w:p>
            <w:pPr>
              <w:pStyle w:val="18"/>
              <w:rPr>
                <w:rFonts w:hint="default"/>
              </w:rPr>
            </w:pPr>
            <w:r>
              <w:rPr>
                <w:rFonts w:ascii="宋体" w:hAnsi="宋体" w:cs="宋体"/>
                <w:sz w:val="24"/>
              </w:rPr>
              <w:t>a）应明确变更需求，变更前根据变更需求制定变更方案，变更方案经过评审、审批后方可实施；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5" w:type="dxa"/>
            <w:tcMar>
              <w:top w:w="90" w:type="dxa"/>
              <w:left w:w="90" w:type="dxa"/>
              <w:bottom w:w="90" w:type="dxa"/>
              <w:right w:w="90" w:type="dxa"/>
            </w:tcMar>
            <w:vAlign w:val="top"/>
          </w:tcPr>
          <w:p>
            <w:pPr>
              <w:pStyle w:val="18"/>
              <w:jc w:val="center"/>
              <w:rPr>
                <w:rFonts w:hint="default"/>
              </w:rPr>
            </w:pPr>
            <w:r>
              <w:rPr>
                <w:rFonts w:ascii="宋体" w:hAnsi="宋体" w:cs="宋体"/>
                <w:sz w:val="24"/>
              </w:rPr>
              <w:t>32</w:t>
            </w:r>
          </w:p>
        </w:tc>
        <w:tc>
          <w:tcPr>
            <w:tcW w:w="1233" w:type="dxa"/>
            <w:vMerge w:val="continue"/>
            <w:vAlign w:val="top"/>
          </w:tcPr>
          <w:p/>
        </w:tc>
        <w:tc>
          <w:tcPr>
            <w:tcW w:w="7870" w:type="dxa"/>
            <w:tcMar>
              <w:top w:w="90" w:type="dxa"/>
              <w:left w:w="90" w:type="dxa"/>
              <w:bottom w:w="90" w:type="dxa"/>
              <w:right w:w="90" w:type="dxa"/>
            </w:tcMar>
            <w:vAlign w:val="top"/>
          </w:tcPr>
          <w:p>
            <w:pPr>
              <w:pStyle w:val="18"/>
              <w:rPr>
                <w:rFonts w:hint="default"/>
              </w:rPr>
            </w:pPr>
            <w:r>
              <w:rPr>
                <w:rFonts w:ascii="宋体" w:hAnsi="宋体" w:cs="宋体"/>
                <w:sz w:val="24"/>
              </w:rPr>
              <w:t>b）应建立变更的申报和审批控制程序，依据程序控制所有的变更，记录变更实施过程；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5" w:type="dxa"/>
            <w:tcMar>
              <w:top w:w="90" w:type="dxa"/>
              <w:left w:w="90" w:type="dxa"/>
              <w:bottom w:w="90" w:type="dxa"/>
              <w:right w:w="90" w:type="dxa"/>
            </w:tcMar>
            <w:vAlign w:val="top"/>
          </w:tcPr>
          <w:p>
            <w:pPr>
              <w:pStyle w:val="18"/>
              <w:jc w:val="center"/>
              <w:rPr>
                <w:rFonts w:hint="default"/>
              </w:rPr>
            </w:pPr>
            <w:r>
              <w:rPr>
                <w:rFonts w:ascii="宋体" w:hAnsi="宋体" w:cs="宋体"/>
                <w:sz w:val="24"/>
              </w:rPr>
              <w:t>33</w:t>
            </w:r>
          </w:p>
        </w:tc>
        <w:tc>
          <w:tcPr>
            <w:tcW w:w="1233" w:type="dxa"/>
            <w:vMerge w:val="continue"/>
            <w:vAlign w:val="top"/>
          </w:tcPr>
          <w:p/>
        </w:tc>
        <w:tc>
          <w:tcPr>
            <w:tcW w:w="7870" w:type="dxa"/>
            <w:tcMar>
              <w:top w:w="90" w:type="dxa"/>
              <w:left w:w="90" w:type="dxa"/>
              <w:bottom w:w="90" w:type="dxa"/>
              <w:right w:w="90" w:type="dxa"/>
            </w:tcMar>
            <w:vAlign w:val="top"/>
          </w:tcPr>
          <w:p>
            <w:pPr>
              <w:pStyle w:val="18"/>
              <w:rPr>
                <w:rFonts w:hint="default"/>
              </w:rPr>
            </w:pPr>
            <w:r>
              <w:rPr>
                <w:rFonts w:ascii="宋体" w:hAnsi="宋体" w:cs="宋体"/>
                <w:sz w:val="24"/>
              </w:rPr>
              <w:t>c）应建立中止变更并从失败变更中恢复的程序，明确过程控制方法和人员职责，必要时对恢复过程进行演练。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5" w:type="dxa"/>
            <w:tcMar>
              <w:top w:w="90" w:type="dxa"/>
              <w:left w:w="90" w:type="dxa"/>
              <w:bottom w:w="90" w:type="dxa"/>
              <w:right w:w="90" w:type="dxa"/>
            </w:tcMar>
            <w:vAlign w:val="top"/>
          </w:tcPr>
          <w:p>
            <w:pPr>
              <w:pStyle w:val="18"/>
              <w:jc w:val="center"/>
              <w:rPr>
                <w:rFonts w:hint="default"/>
              </w:rPr>
            </w:pPr>
            <w:r>
              <w:rPr>
                <w:rFonts w:ascii="宋体" w:hAnsi="宋体" w:cs="宋体"/>
                <w:sz w:val="24"/>
              </w:rPr>
              <w:t>34</w:t>
            </w:r>
          </w:p>
        </w:tc>
        <w:tc>
          <w:tcPr>
            <w:tcW w:w="1233" w:type="dxa"/>
            <w:vMerge w:val="restart"/>
            <w:tcMar>
              <w:top w:w="90" w:type="dxa"/>
              <w:left w:w="90" w:type="dxa"/>
              <w:bottom w:w="90" w:type="dxa"/>
              <w:right w:w="90" w:type="dxa"/>
            </w:tcMar>
            <w:vAlign w:val="top"/>
          </w:tcPr>
          <w:p>
            <w:pPr>
              <w:pStyle w:val="18"/>
              <w:jc w:val="center"/>
              <w:rPr>
                <w:rFonts w:hint="default"/>
              </w:rPr>
            </w:pPr>
            <w:r>
              <w:rPr>
                <w:rFonts w:ascii="宋体" w:hAnsi="宋体" w:cs="宋体"/>
                <w:sz w:val="24"/>
              </w:rPr>
              <w:t>备份与恢复管理</w:t>
            </w:r>
          </w:p>
        </w:tc>
        <w:tc>
          <w:tcPr>
            <w:tcW w:w="7870" w:type="dxa"/>
            <w:tcMar>
              <w:top w:w="90" w:type="dxa"/>
              <w:left w:w="90" w:type="dxa"/>
              <w:bottom w:w="90" w:type="dxa"/>
              <w:right w:w="90" w:type="dxa"/>
            </w:tcMar>
            <w:vAlign w:val="top"/>
          </w:tcPr>
          <w:p>
            <w:pPr>
              <w:pStyle w:val="18"/>
              <w:rPr>
                <w:rFonts w:hint="default"/>
              </w:rPr>
            </w:pPr>
            <w:r>
              <w:rPr>
                <w:rFonts w:ascii="宋体" w:hAnsi="宋体" w:cs="宋体"/>
                <w:sz w:val="24"/>
              </w:rPr>
              <w:t>a）应识别需要定期备份的重要业务信息、系统数据及软件系统等；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5" w:type="dxa"/>
            <w:tcMar>
              <w:top w:w="90" w:type="dxa"/>
              <w:left w:w="90" w:type="dxa"/>
              <w:bottom w:w="90" w:type="dxa"/>
              <w:right w:w="90" w:type="dxa"/>
            </w:tcMar>
            <w:vAlign w:val="top"/>
          </w:tcPr>
          <w:p>
            <w:pPr>
              <w:pStyle w:val="18"/>
              <w:jc w:val="center"/>
              <w:rPr>
                <w:rFonts w:hint="default"/>
              </w:rPr>
            </w:pPr>
            <w:r>
              <w:rPr>
                <w:rFonts w:ascii="宋体" w:hAnsi="宋体" w:cs="宋体"/>
                <w:sz w:val="24"/>
              </w:rPr>
              <w:t>35</w:t>
            </w:r>
          </w:p>
        </w:tc>
        <w:tc>
          <w:tcPr>
            <w:tcW w:w="1233" w:type="dxa"/>
            <w:vMerge w:val="continue"/>
            <w:vAlign w:val="top"/>
          </w:tcPr>
          <w:p/>
        </w:tc>
        <w:tc>
          <w:tcPr>
            <w:tcW w:w="7870" w:type="dxa"/>
            <w:tcMar>
              <w:top w:w="90" w:type="dxa"/>
              <w:left w:w="90" w:type="dxa"/>
              <w:bottom w:w="90" w:type="dxa"/>
              <w:right w:w="90" w:type="dxa"/>
            </w:tcMar>
            <w:vAlign w:val="top"/>
          </w:tcPr>
          <w:p>
            <w:pPr>
              <w:pStyle w:val="18"/>
              <w:rPr>
                <w:rFonts w:hint="default"/>
              </w:rPr>
            </w:pPr>
            <w:r>
              <w:rPr>
                <w:rFonts w:ascii="宋体" w:hAnsi="宋体" w:cs="宋体"/>
                <w:sz w:val="24"/>
              </w:rPr>
              <w:t>b）应规定备份信息的备份方式、备份频度、存储介质、保存期等；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5" w:type="dxa"/>
            <w:tcMar>
              <w:top w:w="90" w:type="dxa"/>
              <w:left w:w="90" w:type="dxa"/>
              <w:bottom w:w="90" w:type="dxa"/>
              <w:right w:w="90" w:type="dxa"/>
            </w:tcMar>
            <w:vAlign w:val="top"/>
          </w:tcPr>
          <w:p>
            <w:pPr>
              <w:pStyle w:val="18"/>
              <w:jc w:val="center"/>
              <w:rPr>
                <w:rFonts w:hint="default"/>
              </w:rPr>
            </w:pPr>
            <w:r>
              <w:rPr>
                <w:rFonts w:ascii="宋体" w:hAnsi="宋体" w:cs="宋体"/>
                <w:sz w:val="24"/>
              </w:rPr>
              <w:t>36</w:t>
            </w:r>
          </w:p>
        </w:tc>
        <w:tc>
          <w:tcPr>
            <w:tcW w:w="1233" w:type="dxa"/>
            <w:vMerge w:val="continue"/>
            <w:vAlign w:val="top"/>
          </w:tcPr>
          <w:p/>
        </w:tc>
        <w:tc>
          <w:tcPr>
            <w:tcW w:w="7870" w:type="dxa"/>
            <w:tcMar>
              <w:top w:w="90" w:type="dxa"/>
              <w:left w:w="90" w:type="dxa"/>
              <w:bottom w:w="90" w:type="dxa"/>
              <w:right w:w="90" w:type="dxa"/>
            </w:tcMar>
            <w:vAlign w:val="top"/>
          </w:tcPr>
          <w:p>
            <w:pPr>
              <w:pStyle w:val="18"/>
              <w:rPr>
                <w:rFonts w:hint="default"/>
              </w:rPr>
            </w:pPr>
            <w:r>
              <w:rPr>
                <w:rFonts w:ascii="宋体" w:hAnsi="宋体" w:cs="宋体"/>
                <w:sz w:val="24"/>
              </w:rPr>
              <w:t>c）应根据数据的重要性和数据对系统运行的影响，制定数据的备份策略和恢复策略、备份程序和恢复程序等。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5" w:type="dxa"/>
            <w:tcMar>
              <w:top w:w="90" w:type="dxa"/>
              <w:left w:w="90" w:type="dxa"/>
              <w:bottom w:w="90" w:type="dxa"/>
              <w:right w:w="90" w:type="dxa"/>
            </w:tcMar>
            <w:vAlign w:val="top"/>
          </w:tcPr>
          <w:p>
            <w:pPr>
              <w:pStyle w:val="18"/>
              <w:jc w:val="center"/>
              <w:rPr>
                <w:rFonts w:hint="default"/>
              </w:rPr>
            </w:pPr>
            <w:r>
              <w:rPr>
                <w:rFonts w:ascii="宋体" w:hAnsi="宋体" w:cs="宋体"/>
                <w:sz w:val="24"/>
              </w:rPr>
              <w:t>37</w:t>
            </w:r>
          </w:p>
        </w:tc>
        <w:tc>
          <w:tcPr>
            <w:tcW w:w="1233" w:type="dxa"/>
            <w:vMerge w:val="restart"/>
            <w:tcMar>
              <w:top w:w="90" w:type="dxa"/>
              <w:left w:w="90" w:type="dxa"/>
              <w:bottom w:w="90" w:type="dxa"/>
              <w:right w:w="90" w:type="dxa"/>
            </w:tcMar>
            <w:vAlign w:val="top"/>
          </w:tcPr>
          <w:p>
            <w:pPr>
              <w:pStyle w:val="18"/>
              <w:jc w:val="center"/>
              <w:rPr>
                <w:rFonts w:hint="default"/>
              </w:rPr>
            </w:pPr>
            <w:r>
              <w:rPr>
                <w:rFonts w:ascii="宋体" w:hAnsi="宋体" w:cs="宋体"/>
                <w:sz w:val="24"/>
              </w:rPr>
              <w:t>安全事件处置</w:t>
            </w:r>
          </w:p>
        </w:tc>
        <w:tc>
          <w:tcPr>
            <w:tcW w:w="7870" w:type="dxa"/>
            <w:tcMar>
              <w:top w:w="90" w:type="dxa"/>
              <w:left w:w="90" w:type="dxa"/>
              <w:bottom w:w="90" w:type="dxa"/>
              <w:right w:w="90" w:type="dxa"/>
            </w:tcMar>
            <w:vAlign w:val="top"/>
          </w:tcPr>
          <w:p>
            <w:pPr>
              <w:pStyle w:val="18"/>
              <w:rPr>
                <w:rFonts w:hint="default"/>
              </w:rPr>
            </w:pPr>
            <w:r>
              <w:rPr>
                <w:rFonts w:ascii="宋体" w:hAnsi="宋体" w:cs="宋体"/>
                <w:sz w:val="24"/>
              </w:rPr>
              <w:t>a）应及时向安全管理部门报告所发现的安全弱点和可疑事件；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5" w:type="dxa"/>
            <w:tcMar>
              <w:top w:w="90" w:type="dxa"/>
              <w:left w:w="90" w:type="dxa"/>
              <w:bottom w:w="90" w:type="dxa"/>
              <w:right w:w="90" w:type="dxa"/>
            </w:tcMar>
            <w:vAlign w:val="top"/>
          </w:tcPr>
          <w:p>
            <w:pPr>
              <w:pStyle w:val="18"/>
              <w:jc w:val="center"/>
              <w:rPr>
                <w:rFonts w:hint="default"/>
              </w:rPr>
            </w:pPr>
            <w:r>
              <w:rPr>
                <w:rFonts w:ascii="宋体" w:hAnsi="宋体" w:cs="宋体"/>
                <w:sz w:val="24"/>
              </w:rPr>
              <w:t>38</w:t>
            </w:r>
          </w:p>
        </w:tc>
        <w:tc>
          <w:tcPr>
            <w:tcW w:w="1233" w:type="dxa"/>
            <w:vMerge w:val="continue"/>
            <w:vAlign w:val="top"/>
          </w:tcPr>
          <w:p/>
        </w:tc>
        <w:tc>
          <w:tcPr>
            <w:tcW w:w="7870" w:type="dxa"/>
            <w:tcMar>
              <w:top w:w="90" w:type="dxa"/>
              <w:left w:w="90" w:type="dxa"/>
              <w:bottom w:w="90" w:type="dxa"/>
              <w:right w:w="90" w:type="dxa"/>
            </w:tcMar>
            <w:vAlign w:val="top"/>
          </w:tcPr>
          <w:p>
            <w:pPr>
              <w:pStyle w:val="18"/>
              <w:rPr>
                <w:rFonts w:hint="default"/>
              </w:rPr>
            </w:pPr>
            <w:r>
              <w:rPr>
                <w:rFonts w:ascii="宋体" w:hAnsi="宋体" w:cs="宋体"/>
                <w:sz w:val="24"/>
              </w:rPr>
              <w:t>b）应制定安全事件报告和处置管理制度，明确不同安全事件的报告、处置和响应流程，规定安全事件的现场处理、事件报告和后期恢复的管理职责等；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5" w:type="dxa"/>
            <w:tcMar>
              <w:top w:w="90" w:type="dxa"/>
              <w:left w:w="90" w:type="dxa"/>
              <w:bottom w:w="90" w:type="dxa"/>
              <w:right w:w="90" w:type="dxa"/>
            </w:tcMar>
            <w:vAlign w:val="top"/>
          </w:tcPr>
          <w:p>
            <w:pPr>
              <w:pStyle w:val="18"/>
              <w:jc w:val="center"/>
              <w:rPr>
                <w:rFonts w:hint="default"/>
              </w:rPr>
            </w:pPr>
            <w:r>
              <w:rPr>
                <w:rFonts w:ascii="宋体" w:hAnsi="宋体" w:cs="宋体"/>
                <w:sz w:val="24"/>
              </w:rPr>
              <w:t>39</w:t>
            </w:r>
          </w:p>
        </w:tc>
        <w:tc>
          <w:tcPr>
            <w:tcW w:w="1233" w:type="dxa"/>
            <w:vMerge w:val="continue"/>
            <w:vAlign w:val="top"/>
          </w:tcPr>
          <w:p/>
        </w:tc>
        <w:tc>
          <w:tcPr>
            <w:tcW w:w="7870" w:type="dxa"/>
            <w:tcMar>
              <w:top w:w="90" w:type="dxa"/>
              <w:left w:w="90" w:type="dxa"/>
              <w:bottom w:w="90" w:type="dxa"/>
              <w:right w:w="90" w:type="dxa"/>
            </w:tcMar>
            <w:vAlign w:val="top"/>
          </w:tcPr>
          <w:p>
            <w:pPr>
              <w:pStyle w:val="18"/>
              <w:rPr>
                <w:rFonts w:hint="default"/>
              </w:rPr>
            </w:pPr>
            <w:r>
              <w:rPr>
                <w:rFonts w:ascii="宋体" w:hAnsi="宋体" w:cs="宋体"/>
                <w:sz w:val="24"/>
              </w:rPr>
              <w:t>c）应在安全事件报告和响应处理过程中，分析和鉴定事件产生的原因，收集证据，记录处理过程，总结经验教训；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5" w:type="dxa"/>
            <w:tcMar>
              <w:top w:w="90" w:type="dxa"/>
              <w:left w:w="90" w:type="dxa"/>
              <w:bottom w:w="90" w:type="dxa"/>
              <w:right w:w="90" w:type="dxa"/>
            </w:tcMar>
            <w:vAlign w:val="top"/>
          </w:tcPr>
          <w:p>
            <w:pPr>
              <w:pStyle w:val="18"/>
              <w:jc w:val="center"/>
              <w:rPr>
                <w:rFonts w:hint="default"/>
              </w:rPr>
            </w:pPr>
            <w:r>
              <w:rPr>
                <w:rFonts w:ascii="宋体" w:hAnsi="宋体" w:cs="宋体"/>
                <w:sz w:val="24"/>
              </w:rPr>
              <w:t>40</w:t>
            </w:r>
          </w:p>
        </w:tc>
        <w:tc>
          <w:tcPr>
            <w:tcW w:w="1233" w:type="dxa"/>
            <w:vMerge w:val="continue"/>
            <w:vAlign w:val="top"/>
          </w:tcPr>
          <w:p/>
        </w:tc>
        <w:tc>
          <w:tcPr>
            <w:tcW w:w="7870" w:type="dxa"/>
            <w:tcMar>
              <w:top w:w="90" w:type="dxa"/>
              <w:left w:w="90" w:type="dxa"/>
              <w:bottom w:w="90" w:type="dxa"/>
              <w:right w:w="90" w:type="dxa"/>
            </w:tcMar>
            <w:vAlign w:val="top"/>
          </w:tcPr>
          <w:p>
            <w:pPr>
              <w:pStyle w:val="18"/>
              <w:rPr>
                <w:rFonts w:hint="default"/>
              </w:rPr>
            </w:pPr>
            <w:r>
              <w:rPr>
                <w:rFonts w:ascii="宋体" w:hAnsi="宋体" w:cs="宋体"/>
                <w:sz w:val="24"/>
              </w:rPr>
              <w:t>d）对造成系统中断和造成信息泄漏的重大安全事件应采用不同的处理程序和报告程序。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5" w:type="dxa"/>
            <w:tcMar>
              <w:top w:w="90" w:type="dxa"/>
              <w:left w:w="90" w:type="dxa"/>
              <w:bottom w:w="90" w:type="dxa"/>
              <w:right w:w="90" w:type="dxa"/>
            </w:tcMar>
            <w:vAlign w:val="top"/>
          </w:tcPr>
          <w:p>
            <w:pPr>
              <w:pStyle w:val="18"/>
              <w:jc w:val="center"/>
              <w:rPr>
                <w:rFonts w:hint="default"/>
              </w:rPr>
            </w:pPr>
            <w:r>
              <w:rPr>
                <w:rFonts w:ascii="宋体" w:hAnsi="宋体" w:cs="宋体"/>
                <w:sz w:val="24"/>
              </w:rPr>
              <w:t>41</w:t>
            </w:r>
          </w:p>
        </w:tc>
        <w:tc>
          <w:tcPr>
            <w:tcW w:w="1233" w:type="dxa"/>
            <w:vMerge w:val="restart"/>
            <w:tcMar>
              <w:top w:w="90" w:type="dxa"/>
              <w:left w:w="90" w:type="dxa"/>
              <w:bottom w:w="90" w:type="dxa"/>
              <w:right w:w="90" w:type="dxa"/>
            </w:tcMar>
            <w:vAlign w:val="top"/>
          </w:tcPr>
          <w:p>
            <w:pPr>
              <w:pStyle w:val="18"/>
              <w:jc w:val="center"/>
              <w:rPr>
                <w:rFonts w:hint="default"/>
              </w:rPr>
            </w:pPr>
            <w:r>
              <w:rPr>
                <w:rFonts w:ascii="宋体" w:hAnsi="宋体" w:cs="宋体"/>
                <w:sz w:val="24"/>
              </w:rPr>
              <w:t>应急预案管理</w:t>
            </w:r>
          </w:p>
        </w:tc>
        <w:tc>
          <w:tcPr>
            <w:tcW w:w="7870" w:type="dxa"/>
            <w:tcMar>
              <w:top w:w="90" w:type="dxa"/>
              <w:left w:w="90" w:type="dxa"/>
              <w:bottom w:w="90" w:type="dxa"/>
              <w:right w:w="90" w:type="dxa"/>
            </w:tcMar>
            <w:vAlign w:val="top"/>
          </w:tcPr>
          <w:p>
            <w:pPr>
              <w:pStyle w:val="18"/>
              <w:rPr>
                <w:rFonts w:hint="default"/>
              </w:rPr>
            </w:pPr>
            <w:r>
              <w:rPr>
                <w:rFonts w:ascii="宋体" w:hAnsi="宋体" w:cs="宋体"/>
                <w:sz w:val="24"/>
              </w:rPr>
              <w:t>a）应规定统一的应急预案框架，包括启动预案的条件、应急组织构成、应急资源保障、事后教育和培训等内容；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5" w:type="dxa"/>
            <w:tcMar>
              <w:top w:w="90" w:type="dxa"/>
              <w:left w:w="90" w:type="dxa"/>
              <w:bottom w:w="90" w:type="dxa"/>
              <w:right w:w="90" w:type="dxa"/>
            </w:tcMar>
            <w:vAlign w:val="top"/>
          </w:tcPr>
          <w:p>
            <w:pPr>
              <w:pStyle w:val="18"/>
              <w:jc w:val="center"/>
              <w:rPr>
                <w:rFonts w:hint="default"/>
              </w:rPr>
            </w:pPr>
            <w:r>
              <w:rPr>
                <w:rFonts w:ascii="宋体" w:hAnsi="宋体" w:cs="宋体"/>
                <w:sz w:val="24"/>
              </w:rPr>
              <w:t>42</w:t>
            </w:r>
          </w:p>
        </w:tc>
        <w:tc>
          <w:tcPr>
            <w:tcW w:w="1233" w:type="dxa"/>
            <w:vMerge w:val="continue"/>
            <w:vAlign w:val="top"/>
          </w:tcPr>
          <w:p/>
        </w:tc>
        <w:tc>
          <w:tcPr>
            <w:tcW w:w="7870" w:type="dxa"/>
            <w:tcMar>
              <w:top w:w="90" w:type="dxa"/>
              <w:left w:w="90" w:type="dxa"/>
              <w:bottom w:w="90" w:type="dxa"/>
              <w:right w:w="90" w:type="dxa"/>
            </w:tcMar>
            <w:vAlign w:val="top"/>
          </w:tcPr>
          <w:p>
            <w:pPr>
              <w:pStyle w:val="18"/>
              <w:rPr>
                <w:rFonts w:hint="default"/>
              </w:rPr>
            </w:pPr>
            <w:r>
              <w:rPr>
                <w:rFonts w:ascii="宋体" w:hAnsi="宋体" w:cs="宋体"/>
                <w:sz w:val="24"/>
              </w:rPr>
              <w:t>b）应制定重要事件的应急预案，包括应急处理流程、系统恢复流程等内容；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5" w:type="dxa"/>
            <w:tcMar>
              <w:top w:w="90" w:type="dxa"/>
              <w:left w:w="90" w:type="dxa"/>
              <w:bottom w:w="90" w:type="dxa"/>
              <w:right w:w="90" w:type="dxa"/>
            </w:tcMar>
            <w:vAlign w:val="top"/>
          </w:tcPr>
          <w:p>
            <w:pPr>
              <w:pStyle w:val="18"/>
              <w:jc w:val="center"/>
              <w:rPr>
                <w:rFonts w:hint="default"/>
              </w:rPr>
            </w:pPr>
            <w:r>
              <w:rPr>
                <w:rFonts w:ascii="宋体" w:hAnsi="宋体" w:cs="宋体"/>
                <w:sz w:val="24"/>
              </w:rPr>
              <w:t>43</w:t>
            </w:r>
          </w:p>
        </w:tc>
        <w:tc>
          <w:tcPr>
            <w:tcW w:w="1233" w:type="dxa"/>
            <w:vMerge w:val="continue"/>
            <w:vAlign w:val="top"/>
          </w:tcPr>
          <w:p/>
        </w:tc>
        <w:tc>
          <w:tcPr>
            <w:tcW w:w="7870" w:type="dxa"/>
            <w:tcMar>
              <w:top w:w="90" w:type="dxa"/>
              <w:left w:w="90" w:type="dxa"/>
              <w:bottom w:w="90" w:type="dxa"/>
              <w:right w:w="90" w:type="dxa"/>
            </w:tcMar>
            <w:vAlign w:val="top"/>
          </w:tcPr>
          <w:p>
            <w:pPr>
              <w:pStyle w:val="18"/>
              <w:rPr>
                <w:rFonts w:hint="default"/>
              </w:rPr>
            </w:pPr>
            <w:r>
              <w:rPr>
                <w:rFonts w:ascii="宋体" w:hAnsi="宋体" w:cs="宋体"/>
                <w:sz w:val="24"/>
              </w:rPr>
              <w:t>c）应定期对系统相关的人员进行应急预案培训，并进行应急预案的演练；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5" w:type="dxa"/>
            <w:tcMar>
              <w:top w:w="90" w:type="dxa"/>
              <w:left w:w="90" w:type="dxa"/>
              <w:bottom w:w="90" w:type="dxa"/>
              <w:right w:w="90" w:type="dxa"/>
            </w:tcMar>
            <w:vAlign w:val="top"/>
          </w:tcPr>
          <w:p>
            <w:pPr>
              <w:pStyle w:val="18"/>
              <w:jc w:val="center"/>
              <w:rPr>
                <w:rFonts w:hint="default"/>
              </w:rPr>
            </w:pPr>
            <w:r>
              <w:rPr>
                <w:rFonts w:ascii="宋体" w:hAnsi="宋体" w:cs="宋体"/>
                <w:sz w:val="24"/>
              </w:rPr>
              <w:t>44</w:t>
            </w:r>
          </w:p>
        </w:tc>
        <w:tc>
          <w:tcPr>
            <w:tcW w:w="1233" w:type="dxa"/>
            <w:vMerge w:val="continue"/>
            <w:vAlign w:val="top"/>
          </w:tcPr>
          <w:p/>
        </w:tc>
        <w:tc>
          <w:tcPr>
            <w:tcW w:w="7870" w:type="dxa"/>
            <w:tcMar>
              <w:top w:w="90" w:type="dxa"/>
              <w:left w:w="90" w:type="dxa"/>
              <w:bottom w:w="90" w:type="dxa"/>
              <w:right w:w="90" w:type="dxa"/>
            </w:tcMar>
            <w:vAlign w:val="top"/>
          </w:tcPr>
          <w:p>
            <w:pPr>
              <w:pStyle w:val="18"/>
              <w:rPr>
                <w:rFonts w:hint="default"/>
              </w:rPr>
            </w:pPr>
            <w:r>
              <w:rPr>
                <w:rFonts w:ascii="宋体" w:hAnsi="宋体" w:cs="宋体"/>
                <w:sz w:val="24"/>
              </w:rPr>
              <w:t>d）应定期对原有的应急预案重新评估，修订完善。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5" w:type="dxa"/>
            <w:tcMar>
              <w:top w:w="90" w:type="dxa"/>
              <w:left w:w="90" w:type="dxa"/>
              <w:bottom w:w="90" w:type="dxa"/>
              <w:right w:w="90" w:type="dxa"/>
            </w:tcMar>
            <w:vAlign w:val="top"/>
          </w:tcPr>
          <w:p>
            <w:pPr>
              <w:pStyle w:val="18"/>
              <w:jc w:val="center"/>
              <w:rPr>
                <w:rFonts w:hint="default"/>
              </w:rPr>
            </w:pPr>
            <w:r>
              <w:rPr>
                <w:rFonts w:ascii="宋体" w:hAnsi="宋体" w:cs="宋体"/>
                <w:sz w:val="24"/>
              </w:rPr>
              <w:t>45</w:t>
            </w:r>
          </w:p>
        </w:tc>
        <w:tc>
          <w:tcPr>
            <w:tcW w:w="1233" w:type="dxa"/>
            <w:vMerge w:val="restart"/>
            <w:tcMar>
              <w:top w:w="90" w:type="dxa"/>
              <w:left w:w="90" w:type="dxa"/>
              <w:bottom w:w="90" w:type="dxa"/>
              <w:right w:w="90" w:type="dxa"/>
            </w:tcMar>
            <w:vAlign w:val="top"/>
          </w:tcPr>
          <w:p>
            <w:pPr>
              <w:pStyle w:val="18"/>
              <w:jc w:val="center"/>
              <w:rPr>
                <w:rFonts w:hint="default"/>
              </w:rPr>
            </w:pPr>
            <w:r>
              <w:rPr>
                <w:rFonts w:ascii="宋体" w:hAnsi="宋体" w:cs="宋体"/>
                <w:sz w:val="24"/>
              </w:rPr>
              <w:t>外包运维管理</w:t>
            </w:r>
          </w:p>
        </w:tc>
        <w:tc>
          <w:tcPr>
            <w:tcW w:w="7870" w:type="dxa"/>
            <w:tcMar>
              <w:top w:w="90" w:type="dxa"/>
              <w:left w:w="90" w:type="dxa"/>
              <w:bottom w:w="90" w:type="dxa"/>
              <w:right w:w="90" w:type="dxa"/>
            </w:tcMar>
            <w:vAlign w:val="top"/>
          </w:tcPr>
          <w:p>
            <w:pPr>
              <w:pStyle w:val="18"/>
              <w:rPr>
                <w:rFonts w:hint="default"/>
              </w:rPr>
            </w:pPr>
            <w:r>
              <w:rPr>
                <w:rFonts w:ascii="宋体" w:hAnsi="宋体" w:cs="宋体"/>
                <w:sz w:val="24"/>
              </w:rPr>
              <w:t>a）应确保外包运维服务商的选择符合国家的有关规定；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5" w:type="dxa"/>
            <w:tcMar>
              <w:top w:w="90" w:type="dxa"/>
              <w:left w:w="90" w:type="dxa"/>
              <w:bottom w:w="90" w:type="dxa"/>
              <w:right w:w="90" w:type="dxa"/>
            </w:tcMar>
            <w:vAlign w:val="top"/>
          </w:tcPr>
          <w:p>
            <w:pPr>
              <w:pStyle w:val="18"/>
              <w:jc w:val="center"/>
              <w:rPr>
                <w:rFonts w:hint="default"/>
              </w:rPr>
            </w:pPr>
            <w:r>
              <w:rPr>
                <w:rFonts w:ascii="宋体" w:hAnsi="宋体" w:cs="宋体"/>
                <w:sz w:val="24"/>
              </w:rPr>
              <w:t>46</w:t>
            </w:r>
          </w:p>
        </w:tc>
        <w:tc>
          <w:tcPr>
            <w:tcW w:w="1233" w:type="dxa"/>
            <w:vMerge w:val="continue"/>
            <w:vAlign w:val="top"/>
          </w:tcPr>
          <w:p/>
        </w:tc>
        <w:tc>
          <w:tcPr>
            <w:tcW w:w="7870" w:type="dxa"/>
            <w:tcMar>
              <w:top w:w="90" w:type="dxa"/>
              <w:left w:w="90" w:type="dxa"/>
              <w:bottom w:w="90" w:type="dxa"/>
              <w:right w:w="90" w:type="dxa"/>
            </w:tcMar>
            <w:vAlign w:val="top"/>
          </w:tcPr>
          <w:p>
            <w:pPr>
              <w:pStyle w:val="18"/>
              <w:rPr>
                <w:rFonts w:hint="default"/>
              </w:rPr>
            </w:pPr>
            <w:r>
              <w:rPr>
                <w:rFonts w:ascii="宋体" w:hAnsi="宋体" w:cs="宋体"/>
                <w:sz w:val="24"/>
              </w:rPr>
              <w:t>b）应与选定的外包运维服务商签订相关的协议，明确约定外包运维的范围、工作内容；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5" w:type="dxa"/>
            <w:tcMar>
              <w:top w:w="90" w:type="dxa"/>
              <w:left w:w="90" w:type="dxa"/>
              <w:bottom w:w="90" w:type="dxa"/>
              <w:right w:w="90" w:type="dxa"/>
            </w:tcMar>
            <w:vAlign w:val="top"/>
          </w:tcPr>
          <w:p>
            <w:pPr>
              <w:pStyle w:val="18"/>
              <w:jc w:val="center"/>
              <w:rPr>
                <w:rFonts w:hint="default"/>
              </w:rPr>
            </w:pPr>
            <w:r>
              <w:rPr>
                <w:rFonts w:ascii="宋体" w:hAnsi="宋体" w:cs="宋体"/>
                <w:sz w:val="24"/>
              </w:rPr>
              <w:t>47</w:t>
            </w:r>
          </w:p>
        </w:tc>
        <w:tc>
          <w:tcPr>
            <w:tcW w:w="1233" w:type="dxa"/>
            <w:vMerge w:val="continue"/>
            <w:vAlign w:val="top"/>
          </w:tcPr>
          <w:p/>
        </w:tc>
        <w:tc>
          <w:tcPr>
            <w:tcW w:w="7870" w:type="dxa"/>
            <w:tcMar>
              <w:top w:w="90" w:type="dxa"/>
              <w:left w:w="90" w:type="dxa"/>
              <w:bottom w:w="90" w:type="dxa"/>
              <w:right w:w="90" w:type="dxa"/>
            </w:tcMar>
            <w:vAlign w:val="top"/>
          </w:tcPr>
          <w:p>
            <w:pPr>
              <w:pStyle w:val="18"/>
              <w:rPr>
                <w:rFonts w:hint="default"/>
              </w:rPr>
            </w:pPr>
            <w:r>
              <w:rPr>
                <w:rFonts w:ascii="宋体" w:hAnsi="宋体" w:cs="宋体"/>
                <w:sz w:val="24"/>
              </w:rPr>
              <w:t>c）应保证选择的外包运维服务商在技术和管理方面均应具有按照等级保护要求开展安全运维工作的能力，并将能力要求在签订的协议中明确；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5" w:type="dxa"/>
            <w:tcMar>
              <w:top w:w="90" w:type="dxa"/>
              <w:left w:w="90" w:type="dxa"/>
              <w:bottom w:w="90" w:type="dxa"/>
              <w:right w:w="90" w:type="dxa"/>
            </w:tcMar>
            <w:vAlign w:val="top"/>
          </w:tcPr>
          <w:p>
            <w:pPr>
              <w:pStyle w:val="18"/>
              <w:jc w:val="center"/>
              <w:rPr>
                <w:rFonts w:hint="default"/>
              </w:rPr>
            </w:pPr>
            <w:r>
              <w:rPr>
                <w:rFonts w:ascii="宋体" w:hAnsi="宋体" w:cs="宋体"/>
                <w:sz w:val="24"/>
              </w:rPr>
              <w:t>48</w:t>
            </w:r>
          </w:p>
        </w:tc>
        <w:tc>
          <w:tcPr>
            <w:tcW w:w="1233" w:type="dxa"/>
            <w:vMerge w:val="continue"/>
            <w:vAlign w:val="top"/>
          </w:tcPr>
          <w:p/>
        </w:tc>
        <w:tc>
          <w:tcPr>
            <w:tcW w:w="7870" w:type="dxa"/>
            <w:tcMar>
              <w:top w:w="90" w:type="dxa"/>
              <w:left w:w="90" w:type="dxa"/>
              <w:bottom w:w="90" w:type="dxa"/>
              <w:right w:w="90" w:type="dxa"/>
            </w:tcMar>
            <w:vAlign w:val="top"/>
          </w:tcPr>
          <w:p>
            <w:pPr>
              <w:pStyle w:val="18"/>
              <w:rPr>
                <w:rFonts w:hint="default"/>
              </w:rPr>
            </w:pPr>
            <w:r>
              <w:rPr>
                <w:rFonts w:ascii="宋体" w:hAnsi="宋体" w:cs="宋体"/>
                <w:sz w:val="24"/>
              </w:rPr>
              <w:t>d）应在与外包运维服务商签订的协议中明确所有相关的安全要求，如可能涉及对敏感信息的访问、处理、存储要求，对IT 基础设施中断服务的应急保障要求等。</w:t>
            </w:r>
          </w:p>
        </w:tc>
      </w:tr>
    </w:tbl>
    <w:p>
      <w:pPr>
        <w:pStyle w:val="18"/>
        <w:ind w:firstLine="482" w:firstLineChars="200"/>
        <w:jc w:val="both"/>
        <w:rPr>
          <w:rFonts w:hint="default"/>
        </w:rPr>
      </w:pPr>
      <w:r>
        <w:rPr>
          <w:rFonts w:ascii="宋体" w:hAnsi="宋体" w:cs="宋体"/>
          <w:b/>
          <w:sz w:val="24"/>
          <w:shd w:val="clear" w:color="auto" w:fill="FFFFFF"/>
        </w:rPr>
        <w:t>2.11.2.测评实施</w:t>
      </w:r>
    </w:p>
    <w:p>
      <w:pPr>
        <w:pStyle w:val="18"/>
        <w:spacing w:line="360" w:lineRule="auto"/>
        <w:ind w:firstLine="480"/>
        <w:jc w:val="both"/>
        <w:rPr>
          <w:rFonts w:ascii="宋体" w:hAnsi="宋体" w:cs="宋体"/>
          <w:sz w:val="24"/>
          <w:shd w:val="clear" w:color="auto" w:fill="FFFFFF"/>
        </w:rPr>
      </w:pPr>
      <w:r>
        <w:rPr>
          <w:rFonts w:ascii="宋体" w:hAnsi="宋体" w:cs="宋体"/>
          <w:sz w:val="24"/>
          <w:shd w:val="clear" w:color="auto" w:fill="FFFFFF"/>
        </w:rPr>
        <w:t>安全运维管理测评主要涉及安全主管、各类运维人员、各类管理制度、操作规程文件和执行过程记录等技术检测对象。</w:t>
      </w:r>
    </w:p>
    <w:p>
      <w:pPr>
        <w:pStyle w:val="18"/>
        <w:ind w:firstLine="482" w:firstLineChars="200"/>
        <w:jc w:val="both"/>
        <w:outlineLvl w:val="5"/>
        <w:rPr>
          <w:rFonts w:hint="default" w:ascii="宋体" w:hAnsi="宋体" w:eastAsia="宋体" w:cs="宋体"/>
          <w:b/>
          <w:sz w:val="24"/>
          <w:shd w:val="clear" w:color="auto" w:fill="FFFFFF"/>
        </w:rPr>
      </w:pPr>
      <w:r>
        <w:rPr>
          <w:rFonts w:hint="eastAsia" w:ascii="宋体" w:hAnsi="宋体" w:eastAsia="宋体" w:cs="宋体"/>
          <w:b/>
          <w:sz w:val="24"/>
          <w:shd w:val="clear" w:color="auto" w:fill="FFFFFF"/>
          <w:lang w:val="en-US" w:eastAsia="zh-CN"/>
        </w:rPr>
        <w:t>2.12</w:t>
      </w:r>
      <w:r>
        <w:rPr>
          <w:rFonts w:hint="default" w:ascii="宋体" w:hAnsi="宋体" w:eastAsia="宋体" w:cs="宋体"/>
          <w:b/>
          <w:sz w:val="24"/>
          <w:shd w:val="clear" w:color="auto" w:fill="FFFFFF"/>
        </w:rPr>
        <w:t>服务要求</w:t>
      </w:r>
    </w:p>
    <w:p>
      <w:pPr>
        <w:pStyle w:val="18"/>
        <w:spacing w:line="360" w:lineRule="auto"/>
        <w:ind w:firstLine="480"/>
        <w:jc w:val="both"/>
        <w:rPr>
          <w:rFonts w:hint="default" w:ascii="宋体" w:hAnsi="宋体" w:eastAsia="宋体" w:cs="宋体"/>
          <w:sz w:val="24"/>
          <w:shd w:val="clear" w:color="auto" w:fill="FFFFFF"/>
        </w:rPr>
      </w:pPr>
      <w:r>
        <w:rPr>
          <w:rFonts w:hint="default" w:ascii="宋体" w:hAnsi="宋体" w:eastAsia="宋体" w:cs="宋体"/>
          <w:sz w:val="24"/>
          <w:shd w:val="clear" w:color="auto" w:fill="FFFFFF"/>
        </w:rPr>
        <w:t>在项目实施时需投入的测评团队人员不少于5人（含），团队成员至少配备1名高级测评师作为项目负责人，专门负责本项目的实施计划安排、项目进展情况、沟通协调等。1名中级或以上测评师，3名初级或以上测评师按照要求开展测评工作。服务期间接到用户故障电话立即响应，对于需要现场解决的问题4小时内到达现场。对于紧急故障处理，要求2小时内到达现场进行故障原因排查和解决。</w:t>
      </w:r>
    </w:p>
    <w:sectPr>
      <w:footerReference r:id="rId3" w:type="default"/>
      <w:pgSz w:w="11906" w:h="16838"/>
      <w:pgMar w:top="1440" w:right="1349" w:bottom="1440" w:left="140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26</w:t>
                          </w:r>
                          <w: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5dblS0AAAAAUBAAAPAAAAAAAA&#10;AAEAIAAAACIAAABkcnMvZG93bnJldi54bWxQSwECFAAUAAAACACHTuJAGziLKKgBAABBAwAADgAA&#10;AAAAAAABACAAAAAfAQAAZHJzL2Uyb0RvYy54bWxQSwUGAAAAAAYABgBZAQAAOQU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26</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1NDc2NzgzNTY0ZGZkODYxNmE1MGI3MmJjYjkwMzgifQ=="/>
  </w:docVars>
  <w:rsids>
    <w:rsidRoot w:val="003A6FE9"/>
    <w:rsid w:val="00172E78"/>
    <w:rsid w:val="00301C5A"/>
    <w:rsid w:val="00364727"/>
    <w:rsid w:val="003A6FE9"/>
    <w:rsid w:val="003E779E"/>
    <w:rsid w:val="004F1A93"/>
    <w:rsid w:val="00522F44"/>
    <w:rsid w:val="009F3539"/>
    <w:rsid w:val="00BB79EE"/>
    <w:rsid w:val="00BF6572"/>
    <w:rsid w:val="00D51505"/>
    <w:rsid w:val="01F1594A"/>
    <w:rsid w:val="04D53301"/>
    <w:rsid w:val="12AE1041"/>
    <w:rsid w:val="1E8314EF"/>
    <w:rsid w:val="29DD2434"/>
    <w:rsid w:val="2EE93928"/>
    <w:rsid w:val="324059AE"/>
    <w:rsid w:val="325B1369"/>
    <w:rsid w:val="34D32B0A"/>
    <w:rsid w:val="372143CD"/>
    <w:rsid w:val="3A143623"/>
    <w:rsid w:val="3B3A743F"/>
    <w:rsid w:val="40692574"/>
    <w:rsid w:val="4EFD0A57"/>
    <w:rsid w:val="4FD9320F"/>
    <w:rsid w:val="563F1955"/>
    <w:rsid w:val="59100F00"/>
    <w:rsid w:val="5AC16DDD"/>
    <w:rsid w:val="5DB669A1"/>
    <w:rsid w:val="6FFB5039"/>
    <w:rsid w:val="71685DAD"/>
    <w:rsid w:val="79B24069"/>
    <w:rsid w:val="7C2C0985"/>
    <w:rsid w:val="7FAB0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宋体"/>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cs="宋体"/>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cs="宋体"/>
      <w:b/>
      <w:bCs/>
      <w:kern w:val="0"/>
      <w:sz w:val="27"/>
      <w:szCs w:val="27"/>
    </w:rPr>
  </w:style>
  <w:style w:type="paragraph" w:styleId="6">
    <w:name w:val="heading 4"/>
    <w:basedOn w:val="1"/>
    <w:next w:val="1"/>
    <w:semiHidden/>
    <w:unhideWhenUsed/>
    <w:qFormat/>
    <w:uiPriority w:val="0"/>
    <w:pPr>
      <w:spacing w:beforeAutospacing="1" w:afterAutospacing="1"/>
      <w:jc w:val="left"/>
      <w:outlineLvl w:val="3"/>
    </w:pPr>
    <w:rPr>
      <w:rFonts w:hint="eastAsia" w:ascii="宋体" w:hAnsi="宋体" w:cs="宋体"/>
      <w:b/>
      <w:bCs/>
      <w:kern w:val="0"/>
      <w:sz w:val="24"/>
    </w:rPr>
  </w:style>
  <w:style w:type="paragraph" w:styleId="7">
    <w:name w:val="heading 5"/>
    <w:basedOn w:val="1"/>
    <w:next w:val="1"/>
    <w:semiHidden/>
    <w:unhideWhenUsed/>
    <w:qFormat/>
    <w:uiPriority w:val="0"/>
    <w:pPr>
      <w:spacing w:beforeAutospacing="1" w:afterAutospacing="1"/>
      <w:jc w:val="left"/>
      <w:outlineLvl w:val="4"/>
    </w:pPr>
    <w:rPr>
      <w:rFonts w:hint="eastAsia" w:ascii="宋体" w:hAnsi="宋体" w:cs="宋体"/>
      <w:b/>
      <w:bCs/>
      <w:kern w:val="0"/>
      <w:sz w:val="20"/>
      <w:szCs w:val="20"/>
    </w:rPr>
  </w:style>
  <w:style w:type="character" w:default="1" w:styleId="14">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8">
    <w:name w:val="annotation subject"/>
    <w:basedOn w:val="9"/>
    <w:next w:val="9"/>
    <w:link w:val="21"/>
    <w:qFormat/>
    <w:uiPriority w:val="0"/>
    <w:rPr>
      <w:b/>
      <w:bCs/>
    </w:rPr>
  </w:style>
  <w:style w:type="paragraph" w:styleId="9">
    <w:name w:val="annotation text"/>
    <w:basedOn w:val="1"/>
    <w:link w:val="20"/>
    <w:qFormat/>
    <w:uiPriority w:val="0"/>
    <w:pPr>
      <w:jc w:val="left"/>
    </w:pPr>
  </w:style>
  <w:style w:type="paragraph" w:styleId="10">
    <w:name w:val="Balloon Text"/>
    <w:basedOn w:val="1"/>
    <w:link w:val="22"/>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qFormat/>
    <w:uiPriority w:val="0"/>
    <w:pPr>
      <w:spacing w:beforeAutospacing="1" w:afterAutospacing="1"/>
      <w:jc w:val="left"/>
    </w:pPr>
    <w:rPr>
      <w:kern w:val="0"/>
      <w:sz w:val="24"/>
    </w:rPr>
  </w:style>
  <w:style w:type="character" w:styleId="15">
    <w:name w:val="Strong"/>
    <w:basedOn w:val="14"/>
    <w:qFormat/>
    <w:uiPriority w:val="0"/>
    <w:rPr>
      <w:b/>
    </w:rPr>
  </w:style>
  <w:style w:type="character" w:styleId="16">
    <w:name w:val="annotation reference"/>
    <w:basedOn w:val="14"/>
    <w:qFormat/>
    <w:uiPriority w:val="0"/>
    <w:rPr>
      <w:sz w:val="21"/>
      <w:szCs w:val="21"/>
    </w:rPr>
  </w:style>
  <w:style w:type="paragraph" w:customStyle="1" w:styleId="18">
    <w:name w:val="null3"/>
    <w:qFormat/>
    <w:uiPriority w:val="0"/>
    <w:rPr>
      <w:rFonts w:hint="eastAsia" w:ascii="Calibri" w:hAnsi="Calibri" w:eastAsia="宋体" w:cs="Times New Roman"/>
      <w:lang w:val="en-US" w:eastAsia="zh-CN" w:bidi="ar-SA"/>
    </w:rPr>
  </w:style>
  <w:style w:type="paragraph" w:customStyle="1" w:styleId="19">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20">
    <w:name w:val="批注文字 Char"/>
    <w:basedOn w:val="14"/>
    <w:link w:val="9"/>
    <w:qFormat/>
    <w:uiPriority w:val="0"/>
    <w:rPr>
      <w:rFonts w:ascii="Calibri" w:hAnsi="Calibri" w:cs="黑体"/>
      <w:kern w:val="2"/>
      <w:sz w:val="21"/>
      <w:szCs w:val="24"/>
    </w:rPr>
  </w:style>
  <w:style w:type="character" w:customStyle="1" w:styleId="21">
    <w:name w:val="批注主题 Char"/>
    <w:basedOn w:val="20"/>
    <w:link w:val="8"/>
    <w:qFormat/>
    <w:uiPriority w:val="0"/>
    <w:rPr>
      <w:rFonts w:ascii="Calibri" w:hAnsi="Calibri" w:cs="黑体"/>
      <w:b/>
      <w:bCs/>
      <w:kern w:val="2"/>
      <w:sz w:val="21"/>
      <w:szCs w:val="24"/>
    </w:rPr>
  </w:style>
  <w:style w:type="character" w:customStyle="1" w:styleId="22">
    <w:name w:val="批注框文本 Char"/>
    <w:basedOn w:val="14"/>
    <w:link w:val="10"/>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10659</Words>
  <Characters>10940</Characters>
  <Lines>174</Lines>
  <Paragraphs>49</Paragraphs>
  <TotalTime>9</TotalTime>
  <ScaleCrop>false</ScaleCrop>
  <LinksUpToDate>false</LinksUpToDate>
  <CharactersWithSpaces>10945</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2024-06-03T10:59:00Z</dcterms:created>
  <dc:creator>DELL</dc:creator>
  <cp:lastModifiedBy>lenovo</cp:lastModifiedBy>
  <dcterms:modified xsi:type="dcterms:W3CDTF">2026-03-18T07:10:56Z</dcterms:modified>
  <dc:title>福建省政府采购</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5FAAA4DB40D642759BB239ABB9C4B8DB_13</vt:lpwstr>
  </property>
  <property fmtid="{D5CDD505-2E9C-101B-9397-08002B2CF9AE}" pid="4" name="KSOTemplateDocerSaveRecord">
    <vt:lpwstr>eyJoZGlkIjoiMjU0NzA3NzU0M2Y2YzEwNTFjMWFiYzdhZGM0YjE3OTQiLCJ1c2VySWQiOiIxNzc5Nzg2ODMxIn0=</vt:lpwstr>
  </property>
</Properties>
</file>