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1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eastAsia="zh-CN"/>
        </w:rPr>
        <w:t>服务内容</w:t>
      </w:r>
    </w:p>
    <w:p>
      <w:pPr>
        <w:pStyle w:val="16"/>
        <w:shd w:val="clear"/>
        <w:spacing w:before="0" w:beforeAutospacing="0" w:after="0" w:afterAutospacing="0" w:line="405" w:lineRule="atLeast"/>
        <w:ind w:firstLine="482" w:firstLineChars="200"/>
        <w:rPr>
          <w:rStyle w:val="18"/>
          <w:rFonts w:hint="eastAsia" w:ascii="Times New Roman" w:hAnsi="Times New Roman"/>
          <w:color w:val="000000" w:themeColor="text1"/>
          <w:highlight w:val="none"/>
          <w:shd w:val="clear" w:color="auto" w:fill="FFFFFF"/>
          <w:lang w:val="en-US" w:eastAsia="zh-CN"/>
        </w:rPr>
      </w:pPr>
      <w:r>
        <w:rPr>
          <w:rStyle w:val="18"/>
          <w:rFonts w:hint="eastAsia" w:ascii="Times New Roman" w:hAnsi="Times New Roman"/>
          <w:color w:val="000000" w:themeColor="text1"/>
          <w:highlight w:val="none"/>
          <w:shd w:val="clear" w:color="auto" w:fill="FFFFFF"/>
          <w:lang w:val="en-US" w:eastAsia="zh-CN"/>
        </w:rPr>
        <w:t>1.1人员要求</w:t>
      </w:r>
    </w:p>
    <w:p>
      <w:pPr>
        <w:pStyle w:val="16"/>
        <w:spacing w:before="0" w:beforeAutospacing="0" w:after="0" w:afterAutospacing="0" w:line="405" w:lineRule="atLeast"/>
        <w:ind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为降低项目实施风险，保障实施服务质量，提供设备</w:t>
      </w:r>
      <w:r>
        <w:rPr>
          <w:rFonts w:hint="eastAsia"/>
          <w:color w:val="000000" w:themeColor="text1"/>
          <w:shd w:val="clear" w:color="auto" w:fill="FFFFFF"/>
          <w:lang w:eastAsia="zh-CN"/>
        </w:rPr>
        <w:t>维保</w:t>
      </w:r>
      <w:r>
        <w:rPr>
          <w:rFonts w:hint="eastAsia"/>
          <w:color w:val="000000" w:themeColor="text1"/>
          <w:shd w:val="clear" w:color="auto" w:fill="FFFFFF"/>
        </w:rPr>
        <w:t>升级的服务人员至少有2名同时具备原厂认证工程师。</w:t>
      </w:r>
    </w:p>
    <w:p>
      <w:pPr>
        <w:pStyle w:val="16"/>
        <w:shd w:val="clear"/>
        <w:spacing w:before="0" w:beforeAutospacing="0" w:after="0" w:afterAutospacing="0" w:line="405" w:lineRule="atLeast"/>
        <w:ind w:firstLine="482" w:firstLineChars="200"/>
        <w:rPr>
          <w:rFonts w:ascii="微软雅黑" w:hAnsi="微软雅黑" w:eastAsia="微软雅黑" w:cs="微软雅黑"/>
          <w:color w:val="000000" w:themeColor="text1"/>
          <w:sz w:val="27"/>
          <w:szCs w:val="27"/>
          <w:highlight w:val="none"/>
        </w:rPr>
      </w:pPr>
      <w:r>
        <w:rPr>
          <w:rStyle w:val="18"/>
          <w:rFonts w:hint="eastAsia"/>
          <w:color w:val="000000" w:themeColor="text1"/>
          <w:highlight w:val="none"/>
          <w:shd w:val="clear" w:color="auto" w:fill="FFFFFF"/>
        </w:rPr>
        <w:t>1.2服务范围</w:t>
      </w:r>
    </w:p>
    <w:p>
      <w:pPr>
        <w:pStyle w:val="16"/>
        <w:shd w:val="clear"/>
        <w:spacing w:before="0" w:beforeAutospacing="0" w:after="0" w:afterAutospacing="0" w:line="405" w:lineRule="atLeast"/>
        <w:ind w:firstLine="482" w:firstLineChars="200"/>
        <w:rPr>
          <w:rStyle w:val="18"/>
          <w:rFonts w:hint="eastAsia"/>
          <w:color w:val="000000" w:themeColor="text1"/>
          <w:highlight w:val="none"/>
          <w:shd w:val="clear" w:color="auto" w:fill="FFFFFF"/>
        </w:rPr>
      </w:pPr>
      <w:r>
        <w:rPr>
          <w:rStyle w:val="18"/>
          <w:rFonts w:hint="eastAsia"/>
          <w:color w:val="000000" w:themeColor="text1"/>
          <w:highlight w:val="none"/>
          <w:shd w:val="clear" w:color="auto" w:fill="FFFFFF"/>
        </w:rPr>
        <w:t>1.2</w:t>
      </w:r>
      <w:r>
        <w:rPr>
          <w:rStyle w:val="18"/>
          <w:rFonts w:hint="eastAsia"/>
          <w:color w:val="000000" w:themeColor="text1"/>
          <w:highlight w:val="none"/>
          <w:shd w:val="clear" w:color="auto" w:fill="FFFFFF"/>
          <w:lang w:val="en-US" w:eastAsia="zh-CN"/>
        </w:rPr>
        <w:t>.1安全设备维保和巡检</w:t>
      </w:r>
      <w:r>
        <w:rPr>
          <w:rStyle w:val="18"/>
          <w:rFonts w:hint="eastAsia"/>
          <w:color w:val="000000" w:themeColor="text1"/>
          <w:highlight w:val="none"/>
          <w:shd w:val="clear" w:color="auto" w:fill="FFFFFF"/>
        </w:rPr>
        <w:t>范围</w:t>
      </w:r>
    </w:p>
    <w:p>
      <w:pPr>
        <w:pStyle w:val="16"/>
        <w:spacing w:before="0" w:beforeAutospacing="0" w:after="0" w:afterAutospacing="0" w:line="405" w:lineRule="atLeast"/>
        <w:ind w:firstLine="480"/>
        <w:rPr>
          <w:rFonts w:hint="eastAsia"/>
          <w:b/>
          <w:bCs/>
          <w:color w:val="000000" w:themeColor="text1"/>
          <w:shd w:val="clear" w:color="auto" w:fill="FFFFFF"/>
          <w:lang w:eastAsia="zh-CN"/>
        </w:rPr>
      </w:pPr>
      <w:r>
        <w:rPr>
          <w:rFonts w:hint="eastAsia"/>
          <w:color w:val="000000" w:themeColor="text1"/>
          <w:shd w:val="clear" w:color="auto" w:fill="FFFFFF"/>
        </w:rPr>
        <w:t>在服务期内，为以下安全产品提供原厂维保服务。中标人须在合同签订后七个工作日内提供维保范围设备的特征库、授权点扩容等升级服务，出具升级报告，并确保升级后系统版本等的兼容性，不影响业务的稳定运行。</w:t>
      </w:r>
    </w:p>
    <w:p>
      <w:pPr>
        <w:pStyle w:val="16"/>
        <w:spacing w:before="0" w:beforeAutospacing="0" w:after="0" w:afterAutospacing="0" w:line="405" w:lineRule="atLeast"/>
        <w:ind w:firstLine="723" w:firstLineChars="300"/>
        <w:rPr>
          <w:rFonts w:ascii="微软雅黑" w:hAnsi="微软雅黑" w:eastAsia="微软雅黑" w:cs="微软雅黑"/>
          <w:b/>
          <w:bCs/>
          <w:color w:val="000000" w:themeColor="text1"/>
          <w:sz w:val="27"/>
          <w:szCs w:val="27"/>
        </w:rPr>
      </w:pPr>
      <w:r>
        <w:rPr>
          <w:rFonts w:hint="eastAsia"/>
          <w:b/>
          <w:bCs/>
          <w:color w:val="000000" w:themeColor="text1"/>
          <w:shd w:val="clear" w:color="auto" w:fill="FFFFFF"/>
        </w:rPr>
        <w:t>福州大学附属省立医院东街院区及金山院区</w:t>
      </w: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</w:rPr>
        <w:t>安全设备维保和巡检</w:t>
      </w:r>
      <w:r>
        <w:rPr>
          <w:rFonts w:hint="eastAsia"/>
          <w:b/>
          <w:bCs/>
          <w:color w:val="000000" w:themeColor="text1"/>
          <w:shd w:val="clear" w:color="auto" w:fill="FFFFFF"/>
        </w:rPr>
        <w:t>清单</w:t>
      </w: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</w:rPr>
        <w:t>1</w:t>
      </w:r>
      <w:r>
        <w:rPr>
          <w:rFonts w:hint="eastAsia"/>
          <w:b/>
          <w:bCs/>
          <w:color w:val="000000" w:themeColor="text1"/>
          <w:shd w:val="clear" w:color="auto" w:fill="FFFFFF"/>
        </w:rPr>
        <w:t>：</w:t>
      </w:r>
    </w:p>
    <w:tbl>
      <w:tblPr>
        <w:tblStyle w:val="20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774"/>
        <w:gridCol w:w="4445"/>
        <w:gridCol w:w="905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采购日期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V3.5/HD-FW-3117-7 S1A2PK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V3.5/HD-FW-3117-7 S1A2PI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V3.5/HD-FW-3117-7 S1A2PJ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2016/2/7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V3.5/HD-FW-SX-6S01 S1A3LW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V3.5/HD-FW-SX-6S01 S1A3LV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2018/11/29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V3.5/HD-FW-SX-5119-8 S1A29S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V3.5/HD-FW-SX-5119-8 S1A29Z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2016/9/4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上网行为管理系统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V3.0/HD-SAS-NI-3117-7 S4A077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2015/11/24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V3.5/HD-FW-VPN-3119-5 S1A2UM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2016/6/27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堡垒机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V3.0/HD-SAS-Fort-EA-2117-7 SCA034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2016/5/2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Web墙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V2.0/HD-WAF-S-2115-1 S8A18G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2017/5/24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防病毒网关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V4.0/HD-SGS-A500-110-2 SBA04B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2018/1/24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V3.5/HD-FW-2110-3 S1A2Z4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V3.5/HD-FW-2110-3 S1A2ZT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2016/8/23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V3.5/HD-FW-3110-1 S1A157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V3.5/HD-FW-3110-1 S1A154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2013/7/8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V3.5/HD-FW-3110-3 S1A3IE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2018/3/14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V3.5/HD-FW-A3-2111-0 S1A46U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V3.5/HD-FW-2118-1 S1A3DN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2017/9/10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堡垒机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V4.0/HD-SGS-Fort-D1-2110-3 SCA09F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2018/12/17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数据库安全审计系统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V3.0/HD-SAS-ED-3117-11 S3A1TI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V3.0/HD-SAS-ED-3117-11 S3A1TJ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2022/10/10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FW3000标准版 SI7053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2010/8/13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V3.5/HD-FW-VPN-7110-3 S1A3NS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V3.5/HD-FW-VPN-7110-3 S1A3NR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2018/10/11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APT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V5.0/HD-NGIDS-APT-2110-9 S2A1KE 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态势感知平台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V2.0/HD-NGSOC-2S17-C SGA04Y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入侵防御系统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V3.1/HD-IPS-A2-7S02 S5A1HM 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2022/7/4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多网隔离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V3.5/HD-FW-MAP-US-CL SEA01A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2022/12/2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防病毒网关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V4.0/HD-SGS-A500-117-7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2016/5/2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Web墙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V2.0/HD-WAF-S-2117-7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2015/10/24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网闸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HD-GAP2000 S9A190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2011/11/7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V3.5/HD-FW-N2-3S02-A S1A5JO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V3.5/HD-FW-N2-3S02-A S1A5JP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V3.5/HD-FW-3116-5 S1A2HU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V3.5/HD-FW-3116-5 S1A2HV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2015/3/17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V3.5/HD-FW-N2-5S02-A S1A3YW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V3.5/HD-FW-N2-5S02-A S1A3YX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2020/2/25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V3.5/HD-FW-VPN-2117-5 S1A2I3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2015/3/24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V3.5/HD-FW-2117-5 S1A2I5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V3.5/HD-FW-2117-5 S1A2I4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2015/3/24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V3.5/HD-FW-N2-1S02-A S1A51T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V3.5/HD-FW-E3-7S02-A S1A60H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V3.5/HD-FW-E3-7S02-A S1A60G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V3.5/HD-FW-E3-7S02-A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S1A5UO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V3.5/HD-FW-E3-7S02-A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S1A5UN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>
      <w:pPr>
        <w:pStyle w:val="16"/>
        <w:spacing w:before="0" w:beforeAutospacing="0" w:after="0" w:afterAutospacing="0" w:line="405" w:lineRule="atLeast"/>
        <w:ind w:firstLine="723" w:firstLineChars="300"/>
        <w:rPr>
          <w:rFonts w:hint="eastAsia"/>
          <w:b/>
          <w:bCs/>
          <w:color w:val="000000" w:themeColor="text1"/>
          <w:shd w:val="clear" w:color="auto" w:fill="FFFFFF"/>
        </w:rPr>
      </w:pPr>
    </w:p>
    <w:p>
      <w:pPr>
        <w:pStyle w:val="16"/>
        <w:spacing w:before="0" w:beforeAutospacing="0" w:after="0" w:afterAutospacing="0" w:line="405" w:lineRule="atLeast"/>
        <w:ind w:firstLine="723" w:firstLineChars="300"/>
        <w:rPr>
          <w:rFonts w:hint="eastAsia"/>
          <w:color w:val="000000" w:themeColor="text1"/>
          <w:shd w:val="clear" w:color="auto" w:fill="FFFFFF"/>
        </w:rPr>
      </w:pPr>
      <w:r>
        <w:rPr>
          <w:rFonts w:hint="eastAsia"/>
          <w:b/>
          <w:bCs/>
          <w:color w:val="000000" w:themeColor="text1"/>
          <w:shd w:val="clear" w:color="auto" w:fill="FFFFFF"/>
        </w:rPr>
        <w:t>福州大学附属省立医院东街院区及金山院区</w:t>
      </w: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</w:rPr>
        <w:t>安全设备维保和巡检</w:t>
      </w:r>
      <w:r>
        <w:rPr>
          <w:rFonts w:hint="eastAsia"/>
          <w:b/>
          <w:bCs/>
          <w:color w:val="000000" w:themeColor="text1"/>
          <w:shd w:val="clear" w:color="auto" w:fill="FFFFFF"/>
        </w:rPr>
        <w:t>清单</w:t>
      </w: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/>
          <w:b/>
          <w:bCs/>
          <w:color w:val="000000" w:themeColor="text1"/>
          <w:shd w:val="clear" w:color="auto" w:fill="FFFFFF"/>
        </w:rPr>
        <w:t>：</w:t>
      </w:r>
    </w:p>
    <w:tbl>
      <w:tblPr>
        <w:tblStyle w:val="20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774"/>
        <w:gridCol w:w="4654"/>
        <w:gridCol w:w="733"/>
        <w:gridCol w:w="2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采购日期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华安星安全事件统一管理系统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华安星安全事件统一管理系统V3.0/CSS-UMC-D1-1S01-A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2019/10/30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华安星安全威胁检测与防御系统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华安星安全威胁检测与防御系统（APT）V3.0/CSS-TDP-DM-111E-D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2019/10/30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华安星安全事件统一管理系统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华安星网络安全审计系统V3.0/CSS-NAC-D1-1S01-A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2020/8/24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华安星运维安全管理系统V3.0/CSS-OMA-D1-2S01-A（增加200个授权）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华安星WEB应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用防护系统V3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华安星WEB应用防护系统V3.0/CSS-WAF-A1-2S01-A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华安星运维安全管理系统V3.0/CSS-OMA-D1-2S01-A（加300个许可）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华安星运维安全管理系统V3.0/CSS-OMA-D1-2S01-A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华安星安全事件统一管理系统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华安星网络安全审计系统V3.0/CSS-NAC-D1-1S01-A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2020/10/13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中科恒伦CKEY动态认证系统 CKEY DAS V1.0（50许可）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微点主动防御软件网络版主动防御软件网络版V2.2（80个）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服务器密码机SJJ1540服务器密码机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网络版防病毒软件 微点主动防御软件网络版 V2.2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2020/11/30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态势H3C NS-SecCenter CSAP-NTA +LIS-C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2021/8/26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态势H3C NS-SecCenter CSAP-S+M+LIS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2021/8/26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华安星等级保护综合管理系统V3.0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V3.0/CSS-ISP-C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2021/11/2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VPN-1000-B1030-R4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2021/11/2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外购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VDI授权与配件(aDesk)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2021/11/2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华安星防火墙系统V3.0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V3.0/CSS-FW-E1-4S01-Y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华安星WEB应用防护系统V3.0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V3.0/CSS-WAF-A1-4S01-Y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华安星安全事件统一管理系统V3.0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V3.0/CSS-UMC-D1-1S01-Y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华安星数据资产分析系统V3.0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V3.0/CSS-DAAS-D1-2110-0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2022/9/2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华安星数据安全监管系统V3.0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V3.0/CSS-DAS-DE-5110-0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2022/9/2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宁盾一体化身份访问管理平台软件 V1.0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2022/9/2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华安星WEB应用防护系统V3.0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V3.0/CSS-WAF-A1-4S01-D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2022/12/20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华安星安全威胁检测与防御系统V3.0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V3.0/CSS-TDP-DA-1110-0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外采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aTrust-1000-B1050G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华安星防火墙系统V3.0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V3.0/CSS-FW-E1-4N01-Y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华安星安全隔离与信息交换系统V3.0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V3.0/CSS-GAP-A1-3N01-Y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密码服务平台（密码模块）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HT-ICSP V1.0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华安星安全威胁检测与防御系统V3.0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V3.0/CSS-TDP-DA-1N01-Y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华安星防火墙系统V3.0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V3.0/CSS-FW-E1-4110-0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华安星防火墙系统V3.0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V3.0/CSS-FW-E1-4110-0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华安星安全隔离与信息交换系统V3.0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V3.0/CSS-GAP-A1-5110-0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华安星运维安全管理系统V3.0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V3.0/CSS-OMA-D1-2110-0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2023/8/30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华安星防火墙系统V3.0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V3.0/CSS-FW-E1-4111-0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2023/11/23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宁盾一体化身份访问管理平台软件 V1.0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400用户，200设备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</w:tr>
    </w:tbl>
    <w:p>
      <w:pPr>
        <w:pStyle w:val="16"/>
        <w:spacing w:before="0" w:beforeAutospacing="0" w:after="0" w:afterAutospacing="0" w:line="405" w:lineRule="atLeast"/>
        <w:rPr>
          <w:rStyle w:val="18"/>
          <w:color w:val="000000" w:themeColor="text1"/>
          <w:shd w:val="clear" w:color="auto" w:fill="FFFFFF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405" w:lineRule="atLeast"/>
        <w:ind w:firstLine="482"/>
        <w:textAlignment w:val="auto"/>
        <w:rPr>
          <w:rStyle w:val="18"/>
          <w:rFonts w:hint="eastAsia"/>
          <w:color w:val="000000" w:themeColor="text1"/>
          <w:shd w:val="clear" w:color="auto" w:fill="FFFFFF"/>
        </w:rPr>
      </w:pPr>
      <w:r>
        <w:rPr>
          <w:rStyle w:val="18"/>
          <w:rFonts w:hint="eastAsia"/>
          <w:color w:val="000000" w:themeColor="text1"/>
          <w:shd w:val="clear" w:color="auto" w:fill="FFFFFF"/>
        </w:rPr>
        <w:t>1.3服务内容</w:t>
      </w:r>
    </w:p>
    <w:tbl>
      <w:tblPr>
        <w:tblStyle w:val="20"/>
        <w:tblW w:w="9920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525"/>
        <w:gridCol w:w="1646"/>
        <w:gridCol w:w="1483"/>
        <w:gridCol w:w="2840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645" w:type="dxa"/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495" w:type="dxa"/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616" w:type="dxa"/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服务项目</w:t>
            </w:r>
          </w:p>
        </w:tc>
        <w:tc>
          <w:tcPr>
            <w:tcW w:w="1453" w:type="dxa"/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default" w:eastAsia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服务频率</w:t>
            </w:r>
          </w:p>
        </w:tc>
        <w:tc>
          <w:tcPr>
            <w:tcW w:w="2810" w:type="dxa"/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服务成果</w:t>
            </w:r>
          </w:p>
        </w:tc>
        <w:tc>
          <w:tcPr>
            <w:tcW w:w="1691" w:type="dxa"/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after="0" w:afterLines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安全产品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维保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服务</w:t>
            </w: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远程支持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不限次数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Style w:val="18"/>
                <w:rFonts w:hint="eastAsia"/>
                <w:color w:val="000000" w:themeColor="text1"/>
                <w:sz w:val="24"/>
                <w:szCs w:val="24"/>
              </w:rPr>
              <w:t>详见1.4具体服务内容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after="0" w:afterLines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现场支持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不限次数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按需提供《技术服务工单》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after="0" w:afterLines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同代系统版本升级服务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不限次数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按需提供《系统版本升级记录》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after="0" w:afterLines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产品特征库升级服务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不限次数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按需提供《特征库升级记录》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after="0" w:afterLines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产品保修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不限次数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按需提供《产品故障分析报告》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备机服务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不限次数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按需提供《技术服务工单》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</w:rPr>
              <w:t>堡垒机升级服务</w:t>
            </w: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授权点扩容升级服务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一次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安全产品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巡检服务</w:t>
            </w: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资产登记服务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一年四次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《产品资产信息登记表》一年四份</w:t>
            </w:r>
          </w:p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资产网络访问关系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报告》一年四份；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安全策略优化服务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一年四次</w:t>
            </w:r>
          </w:p>
        </w:tc>
        <w:tc>
          <w:tcPr>
            <w:tcW w:w="2810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《设备巡检记录表》及《安全巡检总结报告》一年四份；</w:t>
            </w:r>
          </w:p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产品日志分析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报告》一年四份；</w:t>
            </w:r>
          </w:p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《年度服务总结报告》一年一份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产品日志分析服务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一年四次</w:t>
            </w:r>
          </w:p>
        </w:tc>
        <w:tc>
          <w:tcPr>
            <w:tcW w:w="2810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tblCellSpacing w:w="15" w:type="dxa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产品巡检服务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一年四次</w:t>
            </w:r>
          </w:p>
        </w:tc>
        <w:tc>
          <w:tcPr>
            <w:tcW w:w="2810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tblCellSpacing w:w="15" w:type="dxa"/>
        </w:trPr>
        <w:tc>
          <w:tcPr>
            <w:tcW w:w="6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jc w:val="both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0"/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</w:rPr>
              <w:t>安全运营托管服务</w:t>
            </w:r>
          </w:p>
        </w:tc>
        <w:tc>
          <w:tcPr>
            <w:tcW w:w="16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每日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实时在线的远程安全威胁监测与处置服务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6"/>
              <w:spacing w:before="0" w:beforeLines="0" w:beforeAutospacing="0" w:after="0" w:afterLines="0" w:afterAutospacing="0" w:line="405" w:lineRule="atLeas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每日24小时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实时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在线监测</w:t>
            </w:r>
          </w:p>
        </w:tc>
        <w:tc>
          <w:tcPr>
            <w:tcW w:w="2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val="en-US" w:eastAsia="zh-CN"/>
              </w:rPr>
              <w:t>每日提供一份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</w:rPr>
              <w:t>安全简报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val="en-US" w:eastAsia="zh-CN"/>
              </w:rPr>
              <w:t>简报内容包括但不限于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</w:rPr>
              <w:t>告警数量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</w:rPr>
              <w:t>告警研判分析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val="en-US" w:eastAsia="zh-CN"/>
              </w:rPr>
              <w:t>事件情况及其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</w:rPr>
              <w:t>处置</w:t>
            </w:r>
            <w:r>
              <w:rPr>
                <w:rFonts w:hint="eastAsia" w:ascii="宋体" w:hAnsi="宋体" w:cs="微软雅黑"/>
                <w:color w:val="000000" w:themeColor="text1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69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16"/>
        <w:spacing w:before="0" w:beforeAutospacing="0" w:after="0" w:afterAutospacing="0" w:line="405" w:lineRule="atLeast"/>
        <w:ind w:firstLine="480"/>
        <w:rPr>
          <w:rStyle w:val="18"/>
          <w:rFonts w:hint="eastAsia"/>
          <w:color w:val="000000" w:themeColor="text1"/>
          <w:shd w:val="clear" w:color="auto" w:fill="FFFFFF"/>
        </w:rPr>
      </w:pPr>
    </w:p>
    <w:p>
      <w:pPr>
        <w:pStyle w:val="16"/>
        <w:spacing w:before="0" w:beforeAutospacing="0" w:after="0" w:afterAutospacing="0" w:line="405" w:lineRule="atLeast"/>
        <w:ind w:firstLine="241" w:firstLineChars="100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Style w:val="18"/>
          <w:rFonts w:hint="eastAsia"/>
          <w:color w:val="000000" w:themeColor="text1"/>
          <w:shd w:val="clear" w:color="auto" w:fill="FFFFFF"/>
        </w:rPr>
        <w:t>1.4具体服务内容</w:t>
      </w:r>
    </w:p>
    <w:p>
      <w:pPr>
        <w:pStyle w:val="16"/>
        <w:spacing w:before="0" w:beforeAutospacing="0" w:after="0" w:afterAutospacing="0" w:line="405" w:lineRule="atLeast"/>
        <w:ind w:firstLine="240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Style w:val="18"/>
          <w:rFonts w:hint="eastAsia"/>
          <w:color w:val="000000" w:themeColor="text1"/>
          <w:shd w:val="clear" w:color="auto" w:fill="FFFFFF"/>
        </w:rPr>
        <w:t>1.4.1安全产品</w:t>
      </w:r>
      <w:r>
        <w:rPr>
          <w:rStyle w:val="18"/>
          <w:rFonts w:hint="eastAsia"/>
          <w:color w:val="000000" w:themeColor="text1"/>
          <w:shd w:val="clear" w:color="auto" w:fill="FFFFFF"/>
          <w:lang w:eastAsia="zh-CN"/>
        </w:rPr>
        <w:t>维保</w:t>
      </w:r>
      <w:r>
        <w:rPr>
          <w:rStyle w:val="18"/>
          <w:rFonts w:hint="eastAsia"/>
          <w:color w:val="000000" w:themeColor="text1"/>
          <w:shd w:val="clear" w:color="auto" w:fill="FFFFFF"/>
        </w:rPr>
        <w:t>服务要求</w:t>
      </w:r>
    </w:p>
    <w:p>
      <w:pPr>
        <w:pStyle w:val="16"/>
        <w:spacing w:before="0" w:beforeAutospacing="0" w:after="0" w:afterAutospacing="0" w:line="405" w:lineRule="atLeas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1</w:t>
      </w:r>
      <w:r>
        <w:rPr>
          <w:rFonts w:hint="eastAsia"/>
          <w:color w:val="000000" w:themeColor="text1"/>
          <w:shd w:val="clear" w:color="auto" w:fill="FFFFFF"/>
        </w:rPr>
        <w:t>）远程支持服务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在服务期内，产品使用过程中，因某种原因出现问题，提供电话方式远程支持服务，由工程师将对问题进行诊断解决；如不能通过电话解决，通过远程联机管理解决故障。</w:t>
      </w:r>
    </w:p>
    <w:p>
      <w:pPr>
        <w:pStyle w:val="16"/>
        <w:spacing w:before="0" w:beforeAutospacing="0" w:after="0" w:afterAutospacing="0" w:line="405" w:lineRule="atLeas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/>
          <w:color w:val="000000" w:themeColor="text1"/>
          <w:shd w:val="clear" w:color="auto" w:fill="FFFFFF"/>
        </w:rPr>
        <w:t>）现场服务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在服务期内，通过电话交流或者远程调试无法解决的，工程师在2小时内响应并到现场维护。</w:t>
      </w:r>
    </w:p>
    <w:p>
      <w:pPr>
        <w:pStyle w:val="16"/>
        <w:spacing w:before="0" w:beforeAutospacing="0" w:after="0" w:afterAutospacing="0" w:line="405" w:lineRule="atLeas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3</w:t>
      </w:r>
      <w:r>
        <w:rPr>
          <w:rFonts w:hint="eastAsia"/>
          <w:color w:val="000000" w:themeColor="text1"/>
          <w:shd w:val="clear" w:color="auto" w:fill="FFFFFF"/>
        </w:rPr>
        <w:t>）同代系统版本升级服务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为保障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采购人</w:t>
      </w:r>
      <w:r>
        <w:rPr>
          <w:rFonts w:hint="eastAsia"/>
          <w:color w:val="000000" w:themeColor="text1"/>
          <w:shd w:val="clear" w:color="auto" w:fill="FFFFFF"/>
        </w:rPr>
        <w:t>业务的稳定性，系统本身不提供自动升级服务。在服务期内，</w:t>
      </w:r>
      <w:r>
        <w:rPr>
          <w:rFonts w:hint="eastAsia"/>
          <w:color w:val="000000" w:themeColor="text1"/>
          <w:shd w:val="clear" w:color="auto" w:fill="FFFFFF"/>
          <w:lang w:eastAsia="zh-CN"/>
        </w:rPr>
        <w:t>维保</w:t>
      </w:r>
      <w:r>
        <w:rPr>
          <w:rFonts w:hint="eastAsia"/>
          <w:color w:val="000000" w:themeColor="text1"/>
          <w:shd w:val="clear" w:color="auto" w:fill="FFFFFF"/>
        </w:rPr>
        <w:t>产品（上述维保设备清单）系统版本出现可升级的新版本时，根据产品性能将为用户提供同代版本升级服务。由工程师现场为客户系统进行配置备份。在不影响业务系统正常运行的情况下，对系统版本进行升级，并完成新系统的配置恢复。新系统上线后，对网络连通性和业务可用性进行测试，保证业务的正常运行。</w:t>
      </w:r>
    </w:p>
    <w:p>
      <w:pPr>
        <w:pStyle w:val="16"/>
        <w:spacing w:before="0" w:beforeAutospacing="0" w:after="0" w:afterAutospacing="0" w:line="405" w:lineRule="atLeast"/>
        <w:ind w:firstLine="240" w:firstLineChars="1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4</w:t>
      </w:r>
      <w:r>
        <w:rPr>
          <w:rFonts w:hint="eastAsia"/>
          <w:color w:val="000000" w:themeColor="text1"/>
          <w:shd w:val="clear" w:color="auto" w:fill="FFFFFF"/>
        </w:rPr>
        <w:t>）产品特征库升级服务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在服务期内，</w:t>
      </w:r>
      <w:r>
        <w:rPr>
          <w:rFonts w:hint="eastAsia"/>
          <w:color w:val="000000" w:themeColor="text1"/>
          <w:shd w:val="clear" w:color="auto" w:fill="FFFFFF"/>
          <w:lang w:eastAsia="zh-CN"/>
        </w:rPr>
        <w:t>维保</w:t>
      </w:r>
      <w:r>
        <w:rPr>
          <w:rFonts w:hint="eastAsia"/>
          <w:color w:val="000000" w:themeColor="text1"/>
          <w:shd w:val="clear" w:color="auto" w:fill="FFFFFF"/>
        </w:rPr>
        <w:t>产品（上述维保设备清单）对需要升级特征库版本的安全产品（包括但不限于IDS、IPS、WAF、上网行为等），在日常运维的过程中，根据产品的性能将对安全产品的特征库进行定期升级，保证特征库版本最新有效。</w:t>
      </w:r>
    </w:p>
    <w:p>
      <w:pPr>
        <w:pStyle w:val="16"/>
        <w:spacing w:before="0" w:beforeAutospacing="0" w:after="0" w:afterAutospacing="0" w:line="405" w:lineRule="atLeast"/>
        <w:ind w:firstLine="240" w:firstLineChars="1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5</w:t>
      </w:r>
      <w:r>
        <w:rPr>
          <w:rFonts w:hint="eastAsia"/>
          <w:color w:val="000000" w:themeColor="text1"/>
          <w:shd w:val="clear" w:color="auto" w:fill="FFFFFF"/>
        </w:rPr>
        <w:t>）产品保修服务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在服务期内，若</w:t>
      </w:r>
      <w:r>
        <w:rPr>
          <w:rFonts w:hint="eastAsia"/>
          <w:color w:val="000000" w:themeColor="text1"/>
          <w:shd w:val="clear" w:color="auto" w:fill="FFFFFF"/>
          <w:lang w:eastAsia="zh-CN"/>
        </w:rPr>
        <w:t>维保</w:t>
      </w:r>
      <w:r>
        <w:rPr>
          <w:rFonts w:hint="eastAsia"/>
          <w:color w:val="000000" w:themeColor="text1"/>
          <w:shd w:val="clear" w:color="auto" w:fill="FFFFFF"/>
        </w:rPr>
        <w:t>产品（上述维保设备清单）出现软硬件故障，提供维修服务（维修费用包含在投标价中，采购人不另外付费）。保障用户设备及业务系统的持续可用性。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对于购买日期超过6年的设备，可能在硬件市场上找不到相应的配件进行维修。设备故障</w:t>
      </w:r>
      <w:r>
        <w:rPr>
          <w:color w:val="000000" w:themeColor="text1"/>
          <w:shd w:val="clear" w:color="auto" w:fill="FFFFFF"/>
        </w:rPr>
        <w:t>48小时内</w:t>
      </w:r>
      <w:r>
        <w:rPr>
          <w:rFonts w:hint="eastAsia"/>
          <w:color w:val="000000" w:themeColor="text1"/>
          <w:shd w:val="clear" w:color="auto" w:fill="FFFFFF"/>
        </w:rPr>
        <w:t>无法修复情况下，投标人需提供不低于故障设备型号的备机直至服务期结束。</w:t>
      </w:r>
    </w:p>
    <w:p>
      <w:pPr>
        <w:pStyle w:val="16"/>
        <w:spacing w:before="0" w:beforeAutospacing="0" w:after="0" w:afterAutospacing="0" w:line="405" w:lineRule="atLeast"/>
        <w:ind w:firstLine="240" w:firstLineChars="1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6</w:t>
      </w:r>
      <w:r>
        <w:rPr>
          <w:rFonts w:hint="eastAsia"/>
          <w:color w:val="000000" w:themeColor="text1"/>
          <w:shd w:val="clear" w:color="auto" w:fill="FFFFFF"/>
        </w:rPr>
        <w:t>）备机服务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投标人具备完善、充足的备机配件库。当设备发生故障且4</w:t>
      </w:r>
      <w:r>
        <w:rPr>
          <w:color w:val="000000" w:themeColor="text1"/>
          <w:shd w:val="clear" w:color="auto" w:fill="FFFFFF"/>
        </w:rPr>
        <w:t>8小时内</w:t>
      </w:r>
      <w:r>
        <w:rPr>
          <w:rFonts w:hint="eastAsia"/>
          <w:color w:val="000000" w:themeColor="text1"/>
          <w:shd w:val="clear" w:color="auto" w:fill="FFFFFF"/>
        </w:rPr>
        <w:t>无法修复时</w:t>
      </w:r>
      <w:r>
        <w:rPr>
          <w:color w:val="000000" w:themeColor="text1"/>
          <w:shd w:val="clear" w:color="auto" w:fill="FFFFFF"/>
        </w:rPr>
        <w:t>，需</w:t>
      </w:r>
      <w:r>
        <w:rPr>
          <w:rFonts w:hint="eastAsia"/>
          <w:color w:val="000000" w:themeColor="text1"/>
          <w:shd w:val="clear" w:color="auto" w:fill="FFFFFF"/>
        </w:rPr>
        <w:t>提供备机服务，将备机或备件送至现场进行更换，确保业务系统的正常运行。</w:t>
      </w:r>
    </w:p>
    <w:p>
      <w:pPr>
        <w:pStyle w:val="16"/>
        <w:spacing w:before="0" w:beforeAutospacing="0" w:after="0" w:afterAutospacing="0" w:line="405" w:lineRule="atLeast"/>
        <w:ind w:firstLine="240"/>
        <w:rPr>
          <w:rFonts w:ascii="微软雅黑" w:hAnsi="微软雅黑" w:eastAsia="微软雅黑" w:cs="微软雅黑"/>
          <w:b/>
          <w:bCs/>
          <w:color w:val="000000" w:themeColor="text1"/>
          <w:sz w:val="27"/>
          <w:szCs w:val="27"/>
        </w:rPr>
      </w:pPr>
      <w:r>
        <w:rPr>
          <w:rStyle w:val="18"/>
          <w:rFonts w:hint="eastAsia"/>
          <w:b/>
          <w:bCs/>
          <w:color w:val="000000" w:themeColor="text1"/>
          <w:shd w:val="clear" w:color="auto" w:fill="FFFFFF"/>
        </w:rPr>
        <w:t>1.4.</w:t>
      </w:r>
      <w:r>
        <w:rPr>
          <w:rStyle w:val="18"/>
          <w:b/>
          <w:bCs/>
          <w:color w:val="000000" w:themeColor="text1"/>
          <w:shd w:val="clear" w:color="auto" w:fill="FFFFFF"/>
        </w:rPr>
        <w:t>2</w:t>
      </w:r>
      <w:r>
        <w:rPr>
          <w:rStyle w:val="18"/>
          <w:rFonts w:hint="eastAsia"/>
          <w:b/>
          <w:bCs/>
          <w:color w:val="000000" w:themeColor="text1"/>
          <w:shd w:val="clear" w:color="auto" w:fill="FFFFFF"/>
        </w:rPr>
        <w:t>内网</w:t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shd w:val="clear" w:color="auto" w:fill="FFFFFF"/>
        </w:rPr>
        <w:t>堡垒</w:t>
      </w:r>
      <w:r>
        <w:rPr>
          <w:rStyle w:val="18"/>
          <w:rFonts w:hint="eastAsia"/>
          <w:b/>
          <w:bCs/>
          <w:color w:val="000000" w:themeColor="text1"/>
          <w:shd w:val="clear" w:color="auto" w:fill="FFFFFF"/>
        </w:rPr>
        <w:t>机升级服务要求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对福州大学附属省立医院东街院区</w:t>
      </w:r>
      <w:r>
        <w:rPr>
          <w:rFonts w:hint="eastAsia"/>
          <w:color w:val="000000" w:themeColor="text1"/>
          <w:shd w:val="clear" w:color="auto" w:fill="FFFFFF"/>
          <w:lang w:eastAsia="zh-CN"/>
        </w:rPr>
        <w:t>两</w:t>
      </w:r>
      <w:r>
        <w:rPr>
          <w:rFonts w:hint="eastAsia"/>
          <w:color w:val="000000" w:themeColor="text1"/>
          <w:shd w:val="clear" w:color="auto" w:fill="FFFFFF"/>
        </w:rPr>
        <w:t>台堡垒机</w:t>
      </w:r>
      <w:r>
        <w:rPr>
          <w:rFonts w:hint="eastAsia"/>
          <w:color w:val="000000" w:themeColor="text1"/>
          <w:shd w:val="clear" w:color="auto" w:fill="FFFFFF"/>
          <w:lang w:eastAsia="zh-CN"/>
        </w:rPr>
        <w:t>（黑盾）</w:t>
      </w:r>
      <w:r>
        <w:rPr>
          <w:rFonts w:hint="eastAsia"/>
          <w:color w:val="000000" w:themeColor="text1"/>
          <w:shd w:val="clear" w:color="auto" w:fill="FFFFFF"/>
        </w:rPr>
        <w:t>提供原厂升级服务，升级内容为：进行授权点扩容，在原有授权点基础上</w:t>
      </w:r>
      <w:r>
        <w:rPr>
          <w:rFonts w:hint="eastAsia"/>
          <w:color w:val="000000" w:themeColor="text1"/>
          <w:shd w:val="clear" w:color="auto" w:fill="FFFFFF"/>
          <w:lang w:eastAsia="zh-CN"/>
        </w:rPr>
        <w:t>各</w:t>
      </w:r>
      <w:r>
        <w:rPr>
          <w:rFonts w:hint="eastAsia"/>
          <w:color w:val="000000" w:themeColor="text1"/>
          <w:shd w:val="clear" w:color="auto" w:fill="FFFFFF"/>
        </w:rPr>
        <w:t>增加不少于</w:t>
      </w:r>
      <w:r>
        <w:rPr>
          <w:color w:val="000000" w:themeColor="text1"/>
          <w:shd w:val="clear" w:color="auto" w:fill="FFFFFF"/>
        </w:rPr>
        <w:t>100点授权许可。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对福州大学附属省立医院东街院区</w:t>
      </w:r>
      <w:r>
        <w:rPr>
          <w:rFonts w:hint="eastAsia"/>
          <w:color w:val="000000" w:themeColor="text1"/>
          <w:shd w:val="clear" w:color="auto" w:fill="FFFFFF"/>
          <w:lang w:eastAsia="zh-CN"/>
        </w:rPr>
        <w:t>四</w:t>
      </w:r>
      <w:r>
        <w:rPr>
          <w:rFonts w:hint="eastAsia"/>
          <w:color w:val="000000" w:themeColor="text1"/>
          <w:shd w:val="clear" w:color="auto" w:fill="FFFFFF"/>
        </w:rPr>
        <w:t>台堡垒机</w:t>
      </w:r>
      <w:r>
        <w:rPr>
          <w:rFonts w:hint="eastAsia"/>
          <w:color w:val="000000" w:themeColor="text1"/>
          <w:shd w:val="clear" w:color="auto" w:fill="FFFFFF"/>
          <w:lang w:eastAsia="zh-CN"/>
        </w:rPr>
        <w:t>（华安星）</w:t>
      </w:r>
      <w:r>
        <w:rPr>
          <w:rFonts w:hint="eastAsia"/>
          <w:color w:val="000000" w:themeColor="text1"/>
          <w:shd w:val="clear" w:color="auto" w:fill="FFFFFF"/>
        </w:rPr>
        <w:t>提供原厂升级服务，升级内容为：进行授权点扩容，在原有授权点</w:t>
      </w:r>
      <w:r>
        <w:rPr>
          <w:rFonts w:hint="eastAsia"/>
          <w:color w:val="000000" w:themeColor="text1"/>
          <w:shd w:val="clear" w:color="auto" w:fill="FFFFFF"/>
          <w:lang w:eastAsia="zh-CN"/>
        </w:rPr>
        <w:t>各</w:t>
      </w:r>
      <w:r>
        <w:rPr>
          <w:rFonts w:hint="eastAsia"/>
          <w:color w:val="000000" w:themeColor="text1"/>
          <w:shd w:val="clear" w:color="auto" w:fill="FFFFFF"/>
        </w:rPr>
        <w:t>基础上增加不少于</w:t>
      </w:r>
      <w:r>
        <w:rPr>
          <w:color w:val="000000" w:themeColor="text1"/>
          <w:shd w:val="clear" w:color="auto" w:fill="FFFFFF"/>
        </w:rPr>
        <w:t>100点授权许可。</w:t>
      </w:r>
    </w:p>
    <w:p>
      <w:pPr>
        <w:pStyle w:val="16"/>
        <w:spacing w:before="0" w:beforeAutospacing="0" w:after="0" w:afterAutospacing="0" w:line="405" w:lineRule="atLeast"/>
        <w:ind w:firstLine="240"/>
        <w:rPr>
          <w:rFonts w:ascii="微软雅黑" w:hAnsi="微软雅黑" w:eastAsia="微软雅黑" w:cs="微软雅黑"/>
          <w:b/>
          <w:bCs/>
          <w:color w:val="000000" w:themeColor="text1"/>
          <w:sz w:val="27"/>
          <w:szCs w:val="27"/>
        </w:rPr>
      </w:pPr>
      <w:r>
        <w:rPr>
          <w:rStyle w:val="18"/>
          <w:rFonts w:hint="eastAsia"/>
          <w:b/>
          <w:bCs/>
          <w:color w:val="000000" w:themeColor="text1"/>
          <w:shd w:val="clear" w:color="auto" w:fill="FFFFFF"/>
        </w:rPr>
        <w:t>1.4.</w:t>
      </w:r>
      <w:r>
        <w:rPr>
          <w:rStyle w:val="18"/>
          <w:b/>
          <w:bCs/>
          <w:color w:val="000000" w:themeColor="text1"/>
          <w:shd w:val="clear" w:color="auto" w:fill="FFFFFF"/>
        </w:rPr>
        <w:t>3</w:t>
      </w:r>
      <w:r>
        <w:rPr>
          <w:rStyle w:val="18"/>
          <w:rFonts w:hint="eastAsia"/>
          <w:b/>
          <w:bCs/>
          <w:color w:val="000000" w:themeColor="text1"/>
          <w:shd w:val="clear" w:color="auto" w:fill="FFFFFF"/>
        </w:rPr>
        <w:t>安全产品巡检服务要求</w:t>
      </w:r>
    </w:p>
    <w:p>
      <w:pPr>
        <w:pStyle w:val="16"/>
        <w:spacing w:before="0" w:beforeAutospacing="0" w:after="0" w:afterAutospacing="0" w:line="405" w:lineRule="atLeast"/>
        <w:ind w:firstLine="480" w:firstLineChars="200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1</w:t>
      </w:r>
      <w:r>
        <w:rPr>
          <w:rFonts w:hint="eastAsia"/>
          <w:color w:val="000000" w:themeColor="text1"/>
          <w:shd w:val="clear" w:color="auto" w:fill="FFFFFF"/>
        </w:rPr>
        <w:t>）资产登记服务</w:t>
      </w:r>
    </w:p>
    <w:p>
      <w:pPr>
        <w:pStyle w:val="16"/>
        <w:spacing w:before="0" w:beforeAutospacing="0" w:after="0" w:afterAutospacing="0" w:line="405" w:lineRule="atLeast"/>
        <w:ind w:firstLine="420"/>
        <w:jc w:val="both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在服务期内，提供网络安全设备资产登记服务。包括但不限于：</w:t>
      </w:r>
    </w:p>
    <w:p>
      <w:pPr>
        <w:pStyle w:val="16"/>
        <w:numPr>
          <w:ilvl w:val="0"/>
          <w:numId w:val="1"/>
        </w:numPr>
        <w:spacing w:before="0" w:beforeAutospacing="0" w:after="0" w:afterAutospacing="0" w:line="405" w:lineRule="atLeast"/>
        <w:ind w:firstLine="420"/>
        <w:jc w:val="both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设备型号、数量、版本等；</w:t>
      </w:r>
    </w:p>
    <w:p>
      <w:pPr>
        <w:pStyle w:val="16"/>
        <w:numPr>
          <w:ilvl w:val="0"/>
          <w:numId w:val="1"/>
        </w:numPr>
        <w:spacing w:before="0" w:beforeAutospacing="0" w:after="0" w:afterAutospacing="0" w:line="405" w:lineRule="atLeast"/>
        <w:ind w:firstLine="420"/>
        <w:jc w:val="both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网络结构、网络路由、网络IP地址等；</w:t>
      </w:r>
    </w:p>
    <w:p>
      <w:pPr>
        <w:pStyle w:val="16"/>
        <w:spacing w:before="0" w:beforeAutospacing="0" w:after="0" w:afterAutospacing="0" w:line="405" w:lineRule="atLeast"/>
        <w:ind w:left="42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（3）综合网络结构图。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hint="eastAsia" w:ascii="微软雅黑" w:hAnsi="微软雅黑" w:eastAsia="宋体" w:cs="微软雅黑"/>
          <w:color w:val="000000" w:themeColor="text1"/>
          <w:sz w:val="27"/>
          <w:szCs w:val="27"/>
          <w:lang w:eastAsia="zh-CN"/>
        </w:rPr>
      </w:pPr>
      <w:r>
        <w:rPr>
          <w:rStyle w:val="18"/>
          <w:rFonts w:hint="eastAsia"/>
          <w:b w:val="0"/>
          <w:bCs w:val="0"/>
          <w:color w:val="000000" w:themeColor="text1"/>
          <w:shd w:val="clear" w:color="auto" w:fill="FFFFFF"/>
        </w:rPr>
        <w:t>采用的服务工具支持资产分析功能，包括但不限于：①同时对1000个</w:t>
      </w:r>
      <w:r>
        <w:rPr>
          <w:rStyle w:val="18"/>
          <w:rFonts w:hint="eastAsia"/>
          <w:b w:val="0"/>
          <w:bCs w:val="0"/>
          <w:color w:val="000000" w:themeColor="text1"/>
          <w:shd w:val="clear" w:color="auto" w:fill="FFFFFF"/>
          <w:lang w:val="en-US" w:eastAsia="zh-CN"/>
        </w:rPr>
        <w:t>或</w:t>
      </w:r>
      <w:r>
        <w:rPr>
          <w:rStyle w:val="18"/>
          <w:rFonts w:hint="eastAsia"/>
          <w:b w:val="0"/>
          <w:bCs w:val="0"/>
          <w:color w:val="000000" w:themeColor="text1"/>
          <w:shd w:val="clear" w:color="auto" w:fill="FFFFFF"/>
        </w:rPr>
        <w:t>以上IP进行归属地查询，支持批量对输入的信息按照标准化格式自动调整，提取需要的关键信息，删除冗余信息；②支持与云端的威胁情报库进行联动，同时对1000个</w:t>
      </w:r>
      <w:r>
        <w:rPr>
          <w:rStyle w:val="18"/>
          <w:rFonts w:hint="eastAsia"/>
          <w:b w:val="0"/>
          <w:bCs w:val="0"/>
          <w:color w:val="000000" w:themeColor="text1"/>
          <w:shd w:val="clear" w:color="auto" w:fill="FFFFFF"/>
          <w:lang w:val="en-US" w:eastAsia="zh-CN"/>
        </w:rPr>
        <w:t>或</w:t>
      </w:r>
      <w:r>
        <w:rPr>
          <w:rStyle w:val="18"/>
          <w:rFonts w:hint="eastAsia"/>
          <w:b w:val="0"/>
          <w:bCs w:val="0"/>
          <w:color w:val="000000" w:themeColor="text1"/>
          <w:shd w:val="clear" w:color="auto" w:fill="FFFFFF"/>
        </w:rPr>
        <w:t>以上IP进行威胁情报信息查询，自动识别傀儡机等类型的威胁。</w:t>
      </w:r>
    </w:p>
    <w:p>
      <w:pPr>
        <w:pStyle w:val="16"/>
        <w:spacing w:before="0" w:beforeAutospacing="0" w:after="0" w:afterAutospacing="0" w:line="405" w:lineRule="atLeas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/>
          <w:color w:val="000000" w:themeColor="text1"/>
          <w:shd w:val="clear" w:color="auto" w:fill="FFFFFF"/>
        </w:rPr>
        <w:t>）安全策略优化服务</w:t>
      </w:r>
    </w:p>
    <w:p>
      <w:pPr>
        <w:pStyle w:val="16"/>
        <w:spacing w:before="0" w:beforeAutospacing="0" w:after="0" w:afterAutospacing="0" w:line="405" w:lineRule="atLeast"/>
        <w:ind w:firstLine="42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在服务期内，工程师负责对网络安全设备的安全策略进行梳理，定期对网络安全设备和信息系统现有状况进行分析评估。在系统状况评估基础上，分析策略是否有效、冲突、冗余，统计安全策略的命中率，依据“最小化”原则，给出安全策略梳理建议，进行安全策略的配置调整和优化。</w:t>
      </w:r>
    </w:p>
    <w:p>
      <w:pPr>
        <w:pStyle w:val="16"/>
        <w:spacing w:before="0" w:beforeAutospacing="0" w:after="0" w:afterAutospacing="0" w:line="405" w:lineRule="atLeast"/>
        <w:ind w:firstLine="480" w:firstLineChars="200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3</w:t>
      </w:r>
      <w:r>
        <w:rPr>
          <w:rFonts w:hint="eastAsia"/>
          <w:color w:val="000000" w:themeColor="text1"/>
          <w:shd w:val="clear" w:color="auto" w:fill="FFFFFF"/>
        </w:rPr>
        <w:t>）产品日志分析服务</w:t>
      </w:r>
    </w:p>
    <w:p>
      <w:pPr>
        <w:pStyle w:val="16"/>
        <w:spacing w:before="0" w:beforeAutospacing="0" w:after="0" w:afterAutospacing="0" w:line="405" w:lineRule="atLeast"/>
        <w:ind w:firstLine="42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在服务期内，工程师对网络安全设备进行安全日志分析，在大量日志信息中找到与系统安全相关的数据。分析系统运行情况，检查系统中有无危害安全性的活动，及时发现潜在威胁和挖掘异常行为。帮助客户快速识别病毒攻击、异常流量以及用户非法行为等重要的安全信息，从而运用合理的安全策略，保证网络的安全。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Style w:val="18"/>
          <w:rFonts w:hint="eastAsia"/>
          <w:b w:val="0"/>
          <w:bCs w:val="0"/>
          <w:color w:val="000000" w:themeColor="text1"/>
          <w:shd w:val="clear" w:color="auto" w:fill="FFFFFF"/>
        </w:rPr>
      </w:pPr>
      <w:r>
        <w:rPr>
          <w:rStyle w:val="18"/>
          <w:rFonts w:hint="eastAsia"/>
          <w:b w:val="0"/>
          <w:bCs w:val="0"/>
          <w:color w:val="000000" w:themeColor="text1"/>
          <w:shd w:val="clear" w:color="auto" w:fill="FFFFFF"/>
        </w:rPr>
        <w:t>在服务期内，工程师定期（每两周不少于1次）对医院内网的2台数据库安全审计系统（V3.0/HD-SAS-ED-3117-11）进行安全日志分析，及时发现异常或可疑的统方行为，并生成高可疑行为巡检报告，按需根据医院的具体需求，对数据库安全审计系统进行个性化统方监测配置，包括设置报警事件、监控范围等，保证数据安全，巡检报告定期提供给采购人。</w:t>
      </w:r>
    </w:p>
    <w:p>
      <w:pPr>
        <w:pStyle w:val="16"/>
        <w:spacing w:before="0" w:beforeAutospacing="0" w:after="0" w:afterAutospacing="0" w:line="405" w:lineRule="atLeast"/>
        <w:ind w:firstLine="480"/>
        <w:jc w:val="both"/>
        <w:rPr>
          <w:rFonts w:ascii="微软雅黑" w:hAnsi="微软雅黑" w:eastAsia="微软雅黑" w:cs="微软雅黑"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  <w:lang w:val="en-US" w:eastAsia="zh-CN"/>
        </w:rPr>
        <w:t>4</w:t>
      </w:r>
      <w:r>
        <w:rPr>
          <w:rFonts w:hint="eastAsia"/>
          <w:color w:val="000000" w:themeColor="text1"/>
          <w:shd w:val="clear" w:color="auto" w:fill="FFFFFF"/>
        </w:rPr>
        <w:t>）产品巡检服务</w:t>
      </w:r>
    </w:p>
    <w:p>
      <w:pPr>
        <w:pStyle w:val="16"/>
        <w:spacing w:before="0" w:beforeAutospacing="0" w:after="0" w:afterAutospacing="0" w:line="405" w:lineRule="atLeast"/>
        <w:ind w:firstLine="420"/>
        <w:jc w:val="both"/>
        <w:rPr>
          <w:rFonts w:hint="eastAsia"/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在服务期内，针对网络安全设备资产信息，定期对设备和系统的硬件外观、运行状况、安全配置、运行日志、清洁程度等进行全方位的安全检查，提供巡检分析报告并提供合理的安全整改建议，协助用户及时对各类安全问题进行修复、处理，确保用户信息安全。年度服务结束提供服务总结报告与安全建议。</w:t>
      </w:r>
    </w:p>
    <w:p>
      <w:pPr>
        <w:pStyle w:val="16"/>
        <w:spacing w:before="0" w:beforeAutospacing="0" w:after="0" w:afterAutospacing="0" w:line="405" w:lineRule="atLeast"/>
        <w:ind w:firstLine="420"/>
        <w:jc w:val="both"/>
        <w:rPr>
          <w:rFonts w:hint="eastAsia" w:ascii="微软雅黑" w:hAnsi="微软雅黑" w:eastAsia="宋体" w:cs="微软雅黑"/>
          <w:color w:val="000000" w:themeColor="text1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32"/>
          <w:shd w:val="clear" w:color="auto" w:fill="FFFFFF"/>
          <w:lang w:val="en-US" w:eastAsia="zh-CN"/>
        </w:rPr>
        <w:t xml:space="preserve">1.4.4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1"/>
          <w:szCs w:val="24"/>
          <w:shd w:val="clear" w:color="auto" w:fill="FFFFFF"/>
          <w:lang w:val="en-US" w:eastAsia="zh-CN"/>
        </w:rPr>
        <w:t xml:space="preserve"> </w:t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shd w:val="clear" w:color="auto" w:fill="FFFFFF"/>
          <w:lang w:val="en-US" w:eastAsia="zh-CN"/>
        </w:rPr>
        <w:t>远程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 w:val="en-US" w:eastAsia="zh-CN"/>
        </w:rPr>
        <w:t>安全运营托管服务要求</w:t>
      </w:r>
    </w:p>
    <w:p>
      <w:pPr>
        <w:widowControl/>
        <w:spacing w:before="0" w:beforeLines="0" w:beforeAutospacing="0" w:after="0" w:afterLines="0" w:afterAutospacing="0" w:line="405" w:lineRule="atLeas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服务期内，对接入到互联网安全运营平台的安全设备日志，不限于维保的安全设备进行集中分析，提供实时在线的远程安全威胁监测与处置服务，持续监控医院网络安全问题，快速检测处置威胁事件：</w:t>
      </w:r>
    </w:p>
    <w:p>
      <w:pPr>
        <w:widowControl/>
        <w:spacing w:before="0" w:beforeLines="0" w:beforeAutospacing="0" w:after="0" w:afterLines="0" w:afterAutospacing="0" w:line="405" w:lineRule="atLeas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远程威胁分析与研判服务：提供实时评估分析服务，通过安全云，并基于采购人本地部署的安全运营管理平台，结合安全专家人工分析，开展安全威胁分析和安全威胁情报服务，主要围绕：SQL注入、WEBSHELL检测、反序列化、Struts2、反弹SHELL、第三方漏洞（REDIS）、暴力破解成功检测、恶意域名检测、挖矿木马、僵尸网络、TeamView协议、SOCKS隧道、其他状态等内容；采用攻击专家模型对web攻击、APT攻击、爆破等各类高级威胁事件深度分析，结合最新威胁情报和业务应用情况，排查安全隐患，并形成处置和整改建议，提升对安全事件的分析和研判能力；</w:t>
      </w:r>
    </w:p>
    <w:p>
      <w:pPr>
        <w:widowControl/>
        <w:spacing w:before="0" w:beforeLines="0" w:beforeAutospacing="0" w:after="0" w:afterLines="0" w:afterAutospacing="0" w:line="405" w:lineRule="atLeas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应急响应服务：当采购人网络和信息系统遇到黑客攻击或网页篡改等恶性事件，提供远程或本地的应急响应服务，帮助采购人正确应对安全事件，清理木马后门、分析入侵原因，降低安全事件带来的损失。</w:t>
      </w:r>
    </w:p>
    <w:p>
      <w:pPr>
        <w:widowControl/>
        <w:spacing w:before="0" w:beforeLines="0" w:beforeAutospacing="0" w:after="0" w:afterLines="0" w:afterAutospacing="0" w:line="405" w:lineRule="atLeas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远程监控处置服务：远程安全设备日志监控处置，针对平台安全告警日志进行实时分析、研判、告警和处置建议的闭环。</w:t>
      </w:r>
    </w:p>
    <w:p>
      <w:pPr>
        <w:pStyle w:val="16"/>
        <w:spacing w:before="0" w:beforeAutospacing="0" w:after="0" w:afterAutospacing="0" w:line="405" w:lineRule="atLeast"/>
        <w:ind w:firstLine="480"/>
        <w:rPr>
          <w:rFonts w:hint="eastAsia"/>
          <w:b/>
          <w:bCs/>
          <w:color w:val="000000" w:themeColor="text1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（</w:t>
      </w:r>
      <w:r>
        <w:rPr>
          <w:rFonts w:hint="eastAsia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针对远程安全运营托管服务，供应商运营服务团队</w:t>
      </w:r>
      <w:r>
        <w:rPr>
          <w:rFonts w:hint="eastAsia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/>
        </w:rPr>
        <w:t>多渠道提供威胁告警及事件封堵通报，支持通过微信公众号推送告警和封堵信息，提升客户对安全事件的分析和研判能力，整个运营过程的全程留痕且可追溯；同时供应商需根据网络安全最新形势，更新本院外网态势感知威胁情报库，并出具《态势感知威胁情报更新报告》。</w:t>
      </w:r>
    </w:p>
    <w:p>
      <w:pPr>
        <w:rPr>
          <w:rFonts w:hint="eastAsia"/>
          <w:color w:val="000000" w:themeColor="text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18A64"/>
    <w:multiLevelType w:val="singleLevel"/>
    <w:tmpl w:val="B2B18A6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76"/>
    <w:rsid w:val="000B2B18"/>
    <w:rsid w:val="000F1D76"/>
    <w:rsid w:val="00773D54"/>
    <w:rsid w:val="0094243D"/>
    <w:rsid w:val="00FA3148"/>
    <w:rsid w:val="03013780"/>
    <w:rsid w:val="0903181B"/>
    <w:rsid w:val="158C4966"/>
    <w:rsid w:val="17840BA1"/>
    <w:rsid w:val="1B1E590D"/>
    <w:rsid w:val="1B747D1C"/>
    <w:rsid w:val="1E757585"/>
    <w:rsid w:val="202146B5"/>
    <w:rsid w:val="2060108E"/>
    <w:rsid w:val="29A160D7"/>
    <w:rsid w:val="2BA22454"/>
    <w:rsid w:val="2C11381B"/>
    <w:rsid w:val="2CFB12A7"/>
    <w:rsid w:val="33EE7A94"/>
    <w:rsid w:val="354D6B5E"/>
    <w:rsid w:val="43245458"/>
    <w:rsid w:val="44623562"/>
    <w:rsid w:val="44A37D78"/>
    <w:rsid w:val="4F0508EC"/>
    <w:rsid w:val="5239345C"/>
    <w:rsid w:val="55825812"/>
    <w:rsid w:val="5A653C4B"/>
    <w:rsid w:val="623F07FE"/>
    <w:rsid w:val="68692B13"/>
    <w:rsid w:val="69D01D74"/>
    <w:rsid w:val="6E33295F"/>
    <w:rsid w:val="778757BE"/>
    <w:rsid w:val="78350405"/>
    <w:rsid w:val="7AA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7">
    <w:name w:val="heading 5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8">
    <w:name w:val="heading 6"/>
    <w:basedOn w:val="1"/>
    <w:next w:val="1"/>
    <w:link w:val="3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9">
    <w:name w:val="annotation subject"/>
    <w:basedOn w:val="10"/>
    <w:next w:val="10"/>
    <w:link w:val="36"/>
    <w:unhideWhenUsed/>
    <w:qFormat/>
    <w:uiPriority w:val="99"/>
    <w:rPr>
      <w:b/>
      <w:bCs/>
    </w:rPr>
  </w:style>
  <w:style w:type="paragraph" w:styleId="10">
    <w:name w:val="annotation text"/>
    <w:basedOn w:val="1"/>
    <w:link w:val="35"/>
    <w:unhideWhenUsed/>
    <w:qFormat/>
    <w:uiPriority w:val="99"/>
    <w:pPr>
      <w:jc w:val="left"/>
    </w:pPr>
  </w:style>
  <w:style w:type="paragraph" w:styleId="11">
    <w:name w:val="Body Text"/>
    <w:basedOn w:val="1"/>
    <w:unhideWhenUsed/>
    <w:qFormat/>
    <w:uiPriority w:val="99"/>
    <w:pPr>
      <w:spacing w:after="120"/>
    </w:pPr>
    <w:rPr>
      <w:sz w:val="28"/>
      <w:szCs w:val="24"/>
    </w:rPr>
  </w:style>
  <w:style w:type="paragraph" w:styleId="12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8">
    <w:name w:val="Strong"/>
    <w:basedOn w:val="17"/>
    <w:qFormat/>
    <w:uiPriority w:val="22"/>
    <w:rPr>
      <w:rFonts w:cs="Times New Roman"/>
      <w:b/>
      <w:bCs/>
    </w:rPr>
  </w:style>
  <w:style w:type="character" w:styleId="19">
    <w:name w:val="annotation reference"/>
    <w:unhideWhenUsed/>
    <w:qFormat/>
    <w:uiPriority w:val="99"/>
    <w:rPr>
      <w:sz w:val="21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样式 标题 3 + (中文) 黑体 小四 非加粗 段前: 7.8 磅 段后: 0 磅 行距: 固定值 20 磅"/>
    <w:basedOn w:val="5"/>
    <w:qFormat/>
    <w:uiPriority w:val="0"/>
    <w:pPr>
      <w:tabs>
        <w:tab w:val="left" w:pos="900"/>
      </w:tabs>
      <w:spacing w:line="400" w:lineRule="exact"/>
    </w:pPr>
    <w:rPr>
      <w:rFonts w:eastAsia="黑体"/>
      <w:szCs w:val="2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5">
    <w:name w:val="null3"/>
    <w:hidden/>
    <w:qFormat/>
    <w:uiPriority w:val="0"/>
    <w:rPr>
      <w:rFonts w:hint="eastAsia" w:ascii="Calibri" w:hAnsi="Calibri" w:eastAsia="宋体" w:cs="黑体"/>
      <w:lang w:val="en-US" w:eastAsia="zh-CN" w:bidi="ar-SA"/>
    </w:rPr>
  </w:style>
  <w:style w:type="paragraph" w:customStyle="1" w:styleId="26">
    <w:name w:val="列出段落2"/>
    <w:basedOn w:val="1"/>
    <w:qFormat/>
    <w:uiPriority w:val="34"/>
    <w:pPr>
      <w:ind w:firstLine="420" w:firstLineChars="200"/>
    </w:pPr>
  </w:style>
  <w:style w:type="paragraph" w:customStyle="1" w:styleId="27">
    <w:name w:val="正文_28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页眉 Char"/>
    <w:link w:val="14"/>
    <w:qFormat/>
    <w:uiPriority w:val="99"/>
    <w:rPr>
      <w:sz w:val="18"/>
      <w:szCs w:val="18"/>
    </w:rPr>
  </w:style>
  <w:style w:type="character" w:customStyle="1" w:styleId="29">
    <w:name w:val="页脚 Char"/>
    <w:link w:val="13"/>
    <w:qFormat/>
    <w:uiPriority w:val="99"/>
    <w:rPr>
      <w:sz w:val="18"/>
      <w:szCs w:val="18"/>
    </w:rPr>
  </w:style>
  <w:style w:type="character" w:customStyle="1" w:styleId="30">
    <w:name w:val="标题 1 Char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1">
    <w:name w:val="标题 2 Char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2">
    <w:name w:val="标题 3 Char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3">
    <w:name w:val="标题 4 Char"/>
    <w:link w:val="6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4">
    <w:name w:val="标题 5 Char"/>
    <w:link w:val="7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35">
    <w:name w:val="批注文字 Char"/>
    <w:basedOn w:val="17"/>
    <w:link w:val="10"/>
    <w:qFormat/>
    <w:uiPriority w:val="99"/>
  </w:style>
  <w:style w:type="character" w:customStyle="1" w:styleId="36">
    <w:name w:val="批注主题 Char"/>
    <w:link w:val="9"/>
    <w:semiHidden/>
    <w:qFormat/>
    <w:uiPriority w:val="99"/>
    <w:rPr>
      <w:b/>
      <w:bCs/>
    </w:rPr>
  </w:style>
  <w:style w:type="character" w:customStyle="1" w:styleId="37">
    <w:name w:val="批注框文本 Char"/>
    <w:link w:val="12"/>
    <w:semiHidden/>
    <w:qFormat/>
    <w:uiPriority w:val="99"/>
    <w:rPr>
      <w:sz w:val="18"/>
      <w:szCs w:val="18"/>
    </w:rPr>
  </w:style>
  <w:style w:type="character" w:customStyle="1" w:styleId="38">
    <w:name w:val="标题 6 Char"/>
    <w:link w:val="8"/>
    <w:qFormat/>
    <w:uiPriority w:val="9"/>
    <w:rPr>
      <w:rFonts w:ascii="Cambria" w:hAnsi="Cambria" w:eastAsia="宋体" w:cs="黑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CCZB</Company>
  <Pages>7</Pages>
  <Words>817</Words>
  <Characters>2197</Characters>
  <Lines>22</Lines>
  <Paragraphs>6</Paragraphs>
  <TotalTime>14</TotalTime>
  <ScaleCrop>false</ScaleCrop>
  <LinksUpToDate>false</LinksUpToDate>
  <CharactersWithSpaces>2247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2024-05-12T14:05:00Z</dcterms:created>
  <dc:creator>承诚小刘</dc:creator>
  <cp:lastModifiedBy>lenovo</cp:lastModifiedBy>
  <cp:lastPrinted>2024-10-10T02:29:00Z</cp:lastPrinted>
  <dcterms:modified xsi:type="dcterms:W3CDTF">2026-03-18T07:18:39Z</dcterms:modified>
  <dc:title> 福建省立医院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FBD627D2402747FB83E97025BE729CF0_13</vt:lpwstr>
  </property>
  <property fmtid="{D5CDD505-2E9C-101B-9397-08002B2CF9AE}" pid="4" name="KSOTemplateDocerSaveRecord">
    <vt:lpwstr>eyJoZGlkIjoiMjU0NzA3NzU0M2Y2YzEwNTFjMWFiYzdhZGM0YjE3OTQiLCJ1c2VySWQiOiIxNzc5Nzg2ODMxIn0=</vt:lpwstr>
  </property>
</Properties>
</file>