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宋体" w:hAnsi="宋体" w:eastAsia="宋体" w:cs="宋体"/>
          <w:b/>
          <w:bCs/>
          <w:color w:val="auto"/>
          <w:lang w:eastAsia="zh-CN"/>
        </w:rPr>
      </w:pPr>
      <w:bookmarkStart w:id="0" w:name="_GoBack"/>
      <w:bookmarkEnd w:id="0"/>
      <w:r>
        <w:rPr>
          <w:rFonts w:hint="eastAsia" w:ascii="宋体" w:hAnsi="宋体" w:eastAsia="宋体" w:cs="宋体"/>
          <w:b/>
          <w:bCs/>
          <w:color w:val="auto"/>
          <w:lang w:eastAsia="zh-CN"/>
        </w:rPr>
        <w:t>服务内容</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一、建设目标</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1.平台升级，持续拓展</w:t>
      </w:r>
    </w:p>
    <w:p>
      <w:pPr>
        <w:spacing w:line="360" w:lineRule="auto"/>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平台支持在信创环境下持续拓展，扩展集成能力，确保平台的持续拓展能力。</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2.数据迁移，平滑切换</w:t>
      </w:r>
    </w:p>
    <w:p>
      <w:pPr>
        <w:spacing w:line="360" w:lineRule="auto"/>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提供完备的数据迁移方案，保障系统切割平稳过渡，在不影响业务开展的情况下实现历史数据迁移至新平台。</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3.满足信创工作需求</w:t>
      </w:r>
    </w:p>
    <w:p>
      <w:pPr>
        <w:spacing w:line="360" w:lineRule="auto"/>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通过医疗电子票据管理系统实现信创改造，同时在软硬件侧预制出可扩展模块，保障终端软件、硬件CPU的后续适配扩展，实现全面信创工作事项。</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二、采购内容</w:t>
      </w:r>
    </w:p>
    <w:tbl>
      <w:tblPr>
        <w:tblStyle w:val="18"/>
        <w:tblW w:w="8251" w:type="dxa"/>
        <w:tblInd w:w="6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38"/>
        <w:gridCol w:w="2399"/>
        <w:gridCol w:w="4027"/>
        <w:gridCol w:w="563"/>
        <w:gridCol w:w="62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PrEx>
        <w:tc>
          <w:tcPr>
            <w:tcW w:w="6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0"/>
              <w:jc w:val="center"/>
              <w:rPr>
                <w:rFonts w:hint="eastAsia" w:ascii="宋体" w:hAnsi="宋体" w:eastAsia="宋体" w:cs="宋体"/>
              </w:rPr>
            </w:pPr>
            <w:r>
              <w:rPr>
                <w:rFonts w:hint="eastAsia" w:ascii="宋体" w:hAnsi="宋体" w:eastAsia="宋体" w:cs="宋体"/>
                <w:sz w:val="24"/>
              </w:rPr>
              <w:t>序号</w:t>
            </w:r>
          </w:p>
        </w:tc>
        <w:tc>
          <w:tcPr>
            <w:tcW w:w="239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0"/>
              <w:jc w:val="center"/>
              <w:rPr>
                <w:rFonts w:hint="eastAsia" w:ascii="宋体" w:hAnsi="宋体" w:eastAsia="宋体" w:cs="宋体"/>
              </w:rPr>
            </w:pPr>
            <w:r>
              <w:rPr>
                <w:rFonts w:hint="eastAsia" w:ascii="宋体" w:hAnsi="宋体" w:eastAsia="宋体" w:cs="宋体"/>
                <w:sz w:val="24"/>
              </w:rPr>
              <w:t>标的</w:t>
            </w:r>
          </w:p>
        </w:tc>
        <w:tc>
          <w:tcPr>
            <w:tcW w:w="402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0"/>
              <w:jc w:val="center"/>
              <w:rPr>
                <w:rFonts w:hint="eastAsia" w:ascii="宋体" w:hAnsi="宋体" w:eastAsia="宋体" w:cs="宋体"/>
              </w:rPr>
            </w:pPr>
            <w:r>
              <w:rPr>
                <w:rFonts w:hint="eastAsia" w:ascii="宋体" w:hAnsi="宋体" w:eastAsia="宋体" w:cs="宋体"/>
                <w:sz w:val="24"/>
              </w:rPr>
              <w:t>内容</w:t>
            </w:r>
          </w:p>
        </w:tc>
        <w:tc>
          <w:tcPr>
            <w:tcW w:w="5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0"/>
              <w:jc w:val="center"/>
              <w:rPr>
                <w:rFonts w:hint="eastAsia" w:ascii="宋体" w:hAnsi="宋体" w:eastAsia="宋体" w:cs="宋体"/>
              </w:rPr>
            </w:pPr>
            <w:r>
              <w:rPr>
                <w:rFonts w:hint="eastAsia" w:ascii="宋体" w:hAnsi="宋体" w:eastAsia="宋体" w:cs="宋体"/>
                <w:sz w:val="24"/>
              </w:rPr>
              <w:t>单位</w:t>
            </w:r>
          </w:p>
        </w:tc>
        <w:tc>
          <w:tcPr>
            <w:tcW w:w="6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0"/>
              <w:jc w:val="center"/>
              <w:rPr>
                <w:rFonts w:hint="eastAsia" w:ascii="宋体" w:hAnsi="宋体" w:eastAsia="宋体" w:cs="宋体"/>
              </w:rPr>
            </w:pPr>
            <w:r>
              <w:rPr>
                <w:rFonts w:hint="eastAsia" w:ascii="宋体" w:hAnsi="宋体" w:eastAsia="宋体" w:cs="宋体"/>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0"/>
              <w:jc w:val="center"/>
              <w:rPr>
                <w:rFonts w:hint="eastAsia" w:ascii="宋体" w:hAnsi="宋体" w:eastAsia="宋体" w:cs="宋体"/>
              </w:rPr>
            </w:pPr>
            <w:r>
              <w:rPr>
                <w:rFonts w:hint="eastAsia" w:ascii="宋体" w:hAnsi="宋体" w:eastAsia="宋体" w:cs="宋体"/>
                <w:sz w:val="24"/>
              </w:rPr>
              <w:t>1</w:t>
            </w:r>
          </w:p>
        </w:tc>
        <w:tc>
          <w:tcPr>
            <w:tcW w:w="23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0"/>
              <w:jc w:val="center"/>
              <w:rPr>
                <w:rFonts w:hint="eastAsia" w:ascii="宋体" w:hAnsi="宋体" w:eastAsia="宋体" w:cs="宋体"/>
              </w:rPr>
            </w:pPr>
            <w:r>
              <w:rPr>
                <w:rFonts w:hint="eastAsia" w:ascii="宋体" w:hAnsi="宋体" w:eastAsia="宋体" w:cs="宋体"/>
                <w:kern w:val="2"/>
                <w:sz w:val="24"/>
                <w:szCs w:val="24"/>
                <w:lang w:val="en-US" w:eastAsia="zh-CN" w:bidi="ar-SA"/>
              </w:rPr>
              <w:t>医疗电子票据系统信创改造项目</w:t>
            </w:r>
          </w:p>
        </w:tc>
        <w:tc>
          <w:tcPr>
            <w:tcW w:w="4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0"/>
              <w:jc w:val="center"/>
              <w:rPr>
                <w:rFonts w:hint="eastAsia" w:ascii="宋体" w:hAnsi="宋体" w:eastAsia="宋体" w:cs="宋体"/>
              </w:rPr>
            </w:pPr>
            <w:r>
              <w:rPr>
                <w:rFonts w:hint="eastAsia" w:ascii="宋体" w:hAnsi="宋体" w:eastAsia="宋体" w:cs="宋体"/>
                <w:kern w:val="2"/>
                <w:sz w:val="24"/>
                <w:szCs w:val="24"/>
                <w:lang w:val="en-US" w:eastAsia="zh-CN" w:bidi="ar-SA"/>
              </w:rPr>
              <w:t>基础软硬件产品适配以及现有医疗电子票据系统适配升级改造</w:t>
            </w:r>
          </w:p>
        </w:tc>
        <w:tc>
          <w:tcPr>
            <w:tcW w:w="5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0"/>
              <w:jc w:val="center"/>
              <w:rPr>
                <w:rFonts w:hint="eastAsia" w:ascii="宋体" w:hAnsi="宋体" w:eastAsia="宋体" w:cs="宋体"/>
              </w:rPr>
            </w:pPr>
            <w:r>
              <w:rPr>
                <w:rFonts w:hint="eastAsia" w:ascii="宋体" w:hAnsi="宋体" w:eastAsia="宋体" w:cs="宋体"/>
                <w:kern w:val="2"/>
                <w:sz w:val="24"/>
                <w:szCs w:val="24"/>
                <w:lang w:val="en-US" w:eastAsia="zh-CN" w:bidi="ar-SA"/>
              </w:rPr>
              <w:t>项</w:t>
            </w:r>
          </w:p>
        </w:tc>
        <w:tc>
          <w:tcPr>
            <w:tcW w:w="6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0"/>
              <w:jc w:val="center"/>
              <w:rPr>
                <w:rFonts w:hint="eastAsia" w:ascii="宋体" w:hAnsi="宋体" w:eastAsia="宋体" w:cs="宋体"/>
              </w:rPr>
            </w:pPr>
            <w:r>
              <w:rPr>
                <w:rFonts w:hint="eastAsia" w:ascii="宋体" w:hAnsi="宋体" w:eastAsia="宋体" w:cs="宋体"/>
                <w:sz w:val="24"/>
              </w:rPr>
              <w:t>1</w:t>
            </w:r>
          </w:p>
        </w:tc>
      </w:tr>
    </w:tbl>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三、技术和服务要求</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（一）基础软硬件产品适配</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操作系统适配：基于信创要求承载应用系统的操作系统需使用符合安全可靠测评要求（已经中国信息安全测评中心安全可靠测评结果公告）的操作系统并满足兼容适配，包括技术底座改造与验证等。在操作系统中进行全量程序流转及相关业务操作，核心业务处理包括接口交互、票据通知等内容。</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数据库适配：基于信创要求承载应用系统所使用的数据库需使用符合安全可靠测评要求（已经中国信息安全测评中心安全可靠测评结果公告）的数据库并满足兼容适配，包括驱动改造、数据库语法分析及改造、建库工具改造、分区索引创建、关联查询组件、数据库脚本调用改造等。 </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终端设备适配：（1）终端操作系统适配改造：终端操作系统需在银河麒麟、中科方德、统信等国产化主流终端操作中进行全部业务操作，核心业务操作包括电子票据申领、电子票据在线开具、电子票据接口开具、电子票据冲红、报表查看、打印调用等。（2）浏览器适配改造：终端操作系统需在火狐、360、IE等主流浏览器中进行全部业务操作，核心业务操作包括电子票据申领、电子票据在线开具、电子票据接口开具、电子票据冲红、报表查看、打印调用等。</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（二）医疗电子票据系统适配升级改造</w:t>
      </w:r>
    </w:p>
    <w:p>
      <w:pPr>
        <w:spacing w:line="360" w:lineRule="auto"/>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要对医疗电子票据系统各功能进行信创适配改造，实现改造后系统在信创环境下稳定运行。主要包括：系统登录、基础信息、票据管理、票据开具、财务管理、综合查询、系统管理、接口等相关功能模块进行兼容开发改造，保障系统功能在信创环境下的稳定运行。</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1.系统登录：该模块支持为单位用户提供登录系统、密码修改、统一身份认证以及个人首页等配置。</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2.基础信息管理：支持单位的信息查询、票据种类查询、收入项目查询、开票点管理、常用交款人、收费明细管理、收费明细分组、库存预警设为等配置。</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3.票据管理：该模块是医疗进行业务办理的核心模块，核心功能包括票据申领、票据入库、下发、申退、库存作废、核销申请等。</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4.票据开具：该模块是用票单位进行业务办理时的核心操作，包括开电子票、批量开电子票等。</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5.财务管理：该模块为财务管理模块，主要为用票单位提供财务相关信息查询功能。</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6.综合查询：该模块为综合查询报表模块，主要为用票单位提供报表查询功能。</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7.系统管理：该模块是用票单位对系统进行相关参数配置的操作，包括系统设置、单位端应用配置、用户管理等。</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8.接口：该模块是医疗电子票据管理系统与HIS业务系统进行对接，数据传输方式采用接口传输方式，信创适配改造不改变接口参数。</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（三）医疗电子票据系统升级实施调优</w:t>
      </w:r>
    </w:p>
    <w:p>
      <w:pPr>
        <w:spacing w:line="360" w:lineRule="auto"/>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历史数据需全部迁移到信创环境，通过校验、测试，确保系统数据完整和系统正常使用，同时需要对新环境进行参数调优与测试及生产环境上线保障。</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1.新环境搭建:前期准备阶段需要完成项目小组建立、制定项目计划和项目组织管理方案，基础环境的搭建、应用的部署并进行全面适配检查分析。</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测试与调优：需进行相应参数调整优化，以避免使用过程中出现卡顿、卡死等情况，实施人员在系统部署过程中对数据库参数进行调整优化，发挥数据库最佳性能，同时在系统部署完成后，完成系统初始化配置与参数调优，通过以上调优过程，保障采购人在使用医疗电子票据管理系统时拥有良好的使用体验与使用年限。</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生产环境上线保障：在新环境搭建部署系统后，对系统开展参数调优、参数配置、完成测试环境联调与测试环境测试后，可进行生产环境试运行，试运行通过后，编制上线申请，由实施人员现场进行生产环境上线保障，及时处理上线过程中出现的问题并给予解决方案。</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（四）医疗电子票据系统数据迁移工作</w:t>
      </w:r>
    </w:p>
    <w:p>
      <w:pPr>
        <w:spacing w:line="360" w:lineRule="auto"/>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系统适配改造开发完成后，需要部署新的应用并进行数据迁移，需要对数据移植工作做好充分的前期准备，合理安排，考虑周到，切实落实，以保证数据被完整、准确和延续的迁移入新系统。</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1.数据迁移流程：制定数据整合迁移流程，根据数据迁移规则解决如何将原有数据正确地转移到新系统数据库。</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2.数据迁移范围：原电子票据管理平台使用oracle作为数据库，本次数据迁移将oracle库中的数据，进行整理转换实现业务整体迁移。涉及包括：各业务表、视图、函数、存储过程、触发器等。</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3.数据迁移策略：制定相应的数据迁移策略，本项目可根据实际情况供采购人组合选择多种迁移方式。</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4.数据迁移步骤：提出相应的数据迁移方案，以实现当前系统向适配改造后新系统的平滑过渡。</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5.迁移保障措施：在实施迁移之前，中标人应在测试环境先进行预演，提前记录并解决执行过程中遇到的问题，避免正式执行迁移时突发情况的发生，保证数据迁移的正确性。</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6.迁移结果验证：在数据迁移完成后，需要对升级和迁移后的数据进行校验和质量分析。</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（五）其它要求</w:t>
      </w:r>
    </w:p>
    <w:p>
      <w:pPr>
        <w:spacing w:line="360" w:lineRule="auto"/>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医疗电子票据系统不改变现有操作习惯，需在原有医疗电子票据系统的基础上进行改造，且应平滑迁移历史数据，原系统中所含的用户登录信息、基础信息、开票信息、系统的相关参数配置、与HIS、自助机等业务系统进行对接的接口参数等关键信息需配合历史数据一同迁移至升级改造后的新系统中，迁移后的历史数据需融合进新系统相应的模块中，不可采用附件备查的方式进行历史数据迁移工作。</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237A6E"/>
    <w:rsid w:val="00780DB8"/>
    <w:rsid w:val="00A066E6"/>
    <w:rsid w:val="00C37986"/>
    <w:rsid w:val="00F24C5E"/>
    <w:rsid w:val="0DC161D1"/>
    <w:rsid w:val="147E342C"/>
    <w:rsid w:val="1ACF3437"/>
    <w:rsid w:val="1BBE1FA1"/>
    <w:rsid w:val="219F0AC7"/>
    <w:rsid w:val="24BC54EC"/>
    <w:rsid w:val="28C83E24"/>
    <w:rsid w:val="2B135273"/>
    <w:rsid w:val="2C4002BA"/>
    <w:rsid w:val="315A2315"/>
    <w:rsid w:val="46BD6980"/>
    <w:rsid w:val="46EB760B"/>
    <w:rsid w:val="487C2259"/>
    <w:rsid w:val="4AB44F4A"/>
    <w:rsid w:val="4B4A5CF7"/>
    <w:rsid w:val="57100D88"/>
    <w:rsid w:val="5E29639C"/>
    <w:rsid w:val="63D77671"/>
    <w:rsid w:val="66EF082E"/>
    <w:rsid w:val="70117A67"/>
    <w:rsid w:val="751D4E00"/>
    <w:rsid w:val="7A57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0"/>
    <w:rPr>
      <w:b/>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6"/>
    <w:link w:val="5"/>
    <w:semiHidden/>
    <w:qFormat/>
    <w:uiPriority w:val="9"/>
    <w:rPr>
      <w:rFonts w:cstheme="majorBidi"/>
      <w:color w:val="2F5597" w:themeColor="accent1" w:themeShade="BF"/>
      <w:sz w:val="28"/>
      <w:szCs w:val="28"/>
    </w:rPr>
  </w:style>
  <w:style w:type="character" w:customStyle="1" w:styleId="24">
    <w:name w:val="标题 5 字符"/>
    <w:basedOn w:val="16"/>
    <w:link w:val="6"/>
    <w:semiHidden/>
    <w:qFormat/>
    <w:uiPriority w:val="9"/>
    <w:rPr>
      <w:rFonts w:cstheme="majorBidi"/>
      <w:color w:val="2F5597" w:themeColor="accent1" w:themeShade="BF"/>
      <w:sz w:val="24"/>
    </w:rPr>
  </w:style>
  <w:style w:type="character" w:customStyle="1" w:styleId="25">
    <w:name w:val="标题 6 字符"/>
    <w:basedOn w:val="16"/>
    <w:link w:val="7"/>
    <w:semiHidden/>
    <w:qFormat/>
    <w:uiPriority w:val="9"/>
    <w:rPr>
      <w:rFonts w:cstheme="majorBidi"/>
      <w:b/>
      <w:bCs/>
      <w:color w:val="2F5597" w:themeColor="accent1" w:themeShade="BF"/>
    </w:rPr>
  </w:style>
  <w:style w:type="character" w:customStyle="1" w:styleId="26">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6"/>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6"/>
    <w:link w:val="35"/>
    <w:qFormat/>
    <w:uiPriority w:val="30"/>
    <w:rPr>
      <w:i/>
      <w:iCs/>
      <w:color w:val="2F5597" w:themeColor="accent1" w:themeShade="BF"/>
    </w:rPr>
  </w:style>
  <w:style w:type="character" w:customStyle="1" w:styleId="37">
    <w:name w:val="Intense Reference"/>
    <w:basedOn w:val="16"/>
    <w:qFormat/>
    <w:uiPriority w:val="32"/>
    <w:rPr>
      <w:b/>
      <w:bCs/>
      <w:smallCaps/>
      <w:color w:val="2F5597" w:themeColor="accent1" w:themeShade="BF"/>
      <w:spacing w:val="5"/>
    </w:rPr>
  </w:style>
  <w:style w:type="character" w:customStyle="1" w:styleId="38">
    <w:name w:val="页眉 字符"/>
    <w:basedOn w:val="16"/>
    <w:link w:val="12"/>
    <w:qFormat/>
    <w:uiPriority w:val="99"/>
    <w:rPr>
      <w:sz w:val="18"/>
      <w:szCs w:val="18"/>
    </w:rPr>
  </w:style>
  <w:style w:type="character" w:customStyle="1" w:styleId="39">
    <w:name w:val="页脚 字符"/>
    <w:basedOn w:val="16"/>
    <w:link w:val="11"/>
    <w:qFormat/>
    <w:uiPriority w:val="99"/>
    <w:rPr>
      <w:sz w:val="18"/>
      <w:szCs w:val="18"/>
    </w:rPr>
  </w:style>
  <w:style w:type="paragraph" w:customStyle="1" w:styleId="40">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 w:type="character" w:customStyle="1" w:styleId="41">
    <w:name w:val="font3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1310</Words>
  <Characters>1339</Characters>
  <Lines>14</Lines>
  <Paragraphs>3</Paragraphs>
  <TotalTime>0</TotalTime>
  <ScaleCrop>false</ScaleCrop>
  <LinksUpToDate>false</LinksUpToDate>
  <CharactersWithSpaces>1340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lenovo</cp:lastModifiedBy>
  <dcterms:modified xsi:type="dcterms:W3CDTF">2026-03-23T09:29:08Z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eyJoZGlkIjoiMjU0NzA3NzU0M2Y2YzEwNTFjMWFiYzdhZGM0YjE3OTQiLCJ1c2VySWQiOiIxNzc5Nzg2ODMxIn0=</vt:lpwstr>
  </property>
  <property fmtid="{D5CDD505-2E9C-101B-9397-08002B2CF9AE}" pid="4" name="ICV">
    <vt:lpwstr>427FAE7B56DC4D76AA0796A06D319B0F_12</vt:lpwstr>
  </property>
</Properties>
</file>